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6841C" w14:textId="70C06A63" w:rsidR="0074696E" w:rsidRPr="004C6EEE" w:rsidRDefault="008F0D36" w:rsidP="00AD784C">
      <w:pPr>
        <w:pStyle w:val="Spacerparatopoffirstpage"/>
      </w:pPr>
      <w:bookmarkStart w:id="0" w:name="_GoBack"/>
      <w:bookmarkEnd w:id="0"/>
      <w:r>
        <w:drawing>
          <wp:anchor distT="0" distB="0" distL="114300" distR="114300" simplePos="0" relativeHeight="251661312" behindDoc="1" locked="1" layoutInCell="1" allowOverlap="1" wp14:anchorId="409D4EC2" wp14:editId="20BE4C71">
            <wp:simplePos x="0" y="0"/>
            <wp:positionH relativeFrom="page">
              <wp:posOffset>0</wp:posOffset>
            </wp:positionH>
            <wp:positionV relativeFrom="page">
              <wp:posOffset>0</wp:posOffset>
            </wp:positionV>
            <wp:extent cx="7560000" cy="207000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901004_masterhead_template_B_resource.jpg"/>
                    <pic:cNvPicPr/>
                  </pic:nvPicPr>
                  <pic:blipFill>
                    <a:blip r:embed="rId7"/>
                    <a:stretch>
                      <a:fillRect/>
                    </a:stretch>
                  </pic:blipFill>
                  <pic:spPr>
                    <a:xfrm>
                      <a:off x="0" y="0"/>
                      <a:ext cx="7560000" cy="2070000"/>
                    </a:xfrm>
                    <a:prstGeom prst="rect">
                      <a:avLst/>
                    </a:prstGeom>
                  </pic:spPr>
                </pic:pic>
              </a:graphicData>
            </a:graphic>
            <wp14:sizeRelH relativeFrom="margin">
              <wp14:pctWidth>0</wp14:pctWidth>
            </wp14:sizeRelH>
            <wp14:sizeRelV relativeFrom="margin">
              <wp14:pctHeight>0</wp14:pctHeight>
            </wp14:sizeRelV>
          </wp:anchor>
        </w:drawing>
      </w:r>
    </w:p>
    <w:p w14:paraId="2BE70F4C" w14:textId="77777777" w:rsidR="00A62D44" w:rsidRPr="004C6EEE" w:rsidRDefault="00A62D44" w:rsidP="004C6EEE">
      <w:pPr>
        <w:pStyle w:val="Sectionbreakfirstpage"/>
        <w:sectPr w:rsidR="00A62D44" w:rsidRPr="004C6EEE" w:rsidSect="00C769EB">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588" w:left="851" w:header="510" w:footer="510" w:gutter="0"/>
          <w:cols w:space="708"/>
          <w:docGrid w:linePitch="360"/>
        </w:sectPr>
      </w:pPr>
    </w:p>
    <w:tbl>
      <w:tblPr>
        <w:tblpPr w:leftFromText="170" w:rightFromText="2835" w:vertAnchor="page" w:tblpY="455"/>
        <w:tblOverlap w:val="never"/>
        <w:tblW w:w="0" w:type="auto"/>
        <w:tblLook w:val="04A0" w:firstRow="1" w:lastRow="0" w:firstColumn="1" w:lastColumn="0" w:noHBand="0" w:noVBand="1"/>
      </w:tblPr>
      <w:tblGrid>
        <w:gridCol w:w="8050"/>
      </w:tblGrid>
      <w:tr w:rsidR="006E2E5D" w14:paraId="3F7A238B" w14:textId="77777777" w:rsidTr="006E2E5D">
        <w:tc>
          <w:tcPr>
            <w:tcW w:w="8050" w:type="dxa"/>
            <w:shd w:val="clear" w:color="auto" w:fill="auto"/>
            <w:tcMar>
              <w:left w:w="0" w:type="dxa"/>
              <w:right w:w="0" w:type="dxa"/>
            </w:tcMar>
          </w:tcPr>
          <w:p w14:paraId="476D198D" w14:textId="6E7357E1" w:rsidR="006E2E5D" w:rsidRPr="006E2E5D" w:rsidRDefault="00F524F0" w:rsidP="00E74463">
            <w:pPr>
              <w:pStyle w:val="DHHSbody"/>
              <w:spacing w:after="240"/>
              <w:rPr>
                <w:b/>
                <w:color w:val="FFFFFF" w:themeColor="background1"/>
                <w:sz w:val="28"/>
                <w:szCs w:val="28"/>
                <w14:textFill>
                  <w14:solidFill>
                    <w14:schemeClr w14:val="bg1">
                      <w14:alpha w14:val="40000"/>
                    </w14:schemeClr>
                  </w14:solidFill>
                </w14:textFill>
              </w:rPr>
            </w:pPr>
            <w:r>
              <w:rPr>
                <w:b/>
                <w:color w:val="FFFFFF" w:themeColor="background1"/>
                <w:sz w:val="28"/>
                <w:szCs w:val="28"/>
                <w14:textFill>
                  <w14:solidFill>
                    <w14:schemeClr w14:val="bg1">
                      <w14:alpha w14:val="40000"/>
                    </w14:schemeClr>
                  </w14:solidFill>
                </w14:textFill>
              </w:rPr>
              <w:t>Positive Ageing Advocacy Group</w:t>
            </w:r>
            <w:r w:rsidR="00794068">
              <w:rPr>
                <w:b/>
                <w:color w:val="FFFFFF" w:themeColor="background1"/>
                <w:sz w:val="28"/>
                <w:szCs w:val="28"/>
                <w14:textFill>
                  <w14:solidFill>
                    <w14:schemeClr w14:val="bg1">
                      <w14:alpha w14:val="40000"/>
                    </w14:schemeClr>
                  </w14:solidFill>
                </w14:textFill>
              </w:rPr>
              <w:t xml:space="preserve"> </w:t>
            </w:r>
            <w:r w:rsidR="001730B9">
              <w:rPr>
                <w:b/>
                <w:color w:val="FFFFFF" w:themeColor="background1"/>
                <w:sz w:val="28"/>
                <w:szCs w:val="28"/>
                <w14:textFill>
                  <w14:solidFill>
                    <w14:schemeClr w14:val="bg1">
                      <w14:alpha w14:val="40000"/>
                    </w14:schemeClr>
                  </w14:solidFill>
                </w14:textFill>
              </w:rPr>
              <w:t>p</w:t>
            </w:r>
            <w:r w:rsidR="00794068">
              <w:rPr>
                <w:b/>
                <w:color w:val="FFFFFF" w:themeColor="background1"/>
                <w:sz w:val="28"/>
                <w:szCs w:val="28"/>
                <w14:textFill>
                  <w14:solidFill>
                    <w14:schemeClr w14:val="bg1">
                      <w14:alpha w14:val="40000"/>
                    </w14:schemeClr>
                  </w14:solidFill>
                </w14:textFill>
              </w:rPr>
              <w:t>roject</w:t>
            </w:r>
          </w:p>
        </w:tc>
      </w:tr>
      <w:tr w:rsidR="00177E25" w14:paraId="4A8F27ED" w14:textId="77777777" w:rsidTr="006E2E5D">
        <w:trPr>
          <w:trHeight w:val="1247"/>
        </w:trPr>
        <w:tc>
          <w:tcPr>
            <w:tcW w:w="8050" w:type="dxa"/>
            <w:shd w:val="clear" w:color="auto" w:fill="auto"/>
            <w:tcMar>
              <w:left w:w="0" w:type="dxa"/>
              <w:right w:w="0" w:type="dxa"/>
            </w:tcMar>
          </w:tcPr>
          <w:p w14:paraId="5A42AA61" w14:textId="56BB9822" w:rsidR="00177E25" w:rsidRPr="00161AA0" w:rsidRDefault="00F524F0" w:rsidP="006E2E5D">
            <w:pPr>
              <w:pStyle w:val="DHHSmainheading"/>
            </w:pPr>
            <w:r>
              <w:t>Terms of reference</w:t>
            </w:r>
          </w:p>
        </w:tc>
      </w:tr>
      <w:tr w:rsidR="00AD784C" w14:paraId="7AF8256B" w14:textId="77777777" w:rsidTr="006E2E5D">
        <w:trPr>
          <w:trHeight w:hRule="exact" w:val="907"/>
        </w:trPr>
        <w:tc>
          <w:tcPr>
            <w:tcW w:w="8050" w:type="dxa"/>
            <w:shd w:val="clear" w:color="auto" w:fill="auto"/>
            <w:tcMar>
              <w:top w:w="170" w:type="dxa"/>
              <w:left w:w="0" w:type="dxa"/>
              <w:bottom w:w="510" w:type="dxa"/>
              <w:right w:w="0" w:type="dxa"/>
            </w:tcMar>
          </w:tcPr>
          <w:p w14:paraId="70FB7D05" w14:textId="3C53240C" w:rsidR="00357B4E" w:rsidRPr="00AD784C" w:rsidRDefault="00FC6F35" w:rsidP="006E2E5D">
            <w:pPr>
              <w:pStyle w:val="DHHSmainsubheading"/>
              <w:rPr>
                <w:szCs w:val="28"/>
              </w:rPr>
            </w:pPr>
            <w:r>
              <w:rPr>
                <w:szCs w:val="28"/>
              </w:rPr>
              <w:t>Resource</w:t>
            </w:r>
          </w:p>
        </w:tc>
      </w:tr>
    </w:tbl>
    <w:tbl>
      <w:tblPr>
        <w:tblpPr w:leftFromText="181" w:rightFromText="181" w:tblpYSpec="top"/>
        <w:tblOverlap w:val="never"/>
        <w:tblW w:w="4937" w:type="pct"/>
        <w:shd w:val="solid" w:color="DCC7DF" w:fill="auto"/>
        <w:tblCellMar>
          <w:top w:w="113" w:type="dxa"/>
          <w:bottom w:w="57" w:type="dxa"/>
        </w:tblCellMar>
        <w:tblLook w:val="00A0" w:firstRow="1" w:lastRow="0" w:firstColumn="1" w:lastColumn="0" w:noHBand="0" w:noVBand="0"/>
      </w:tblPr>
      <w:tblGrid>
        <w:gridCol w:w="10075"/>
      </w:tblGrid>
      <w:tr w:rsidR="007B6AFB" w:rsidRPr="000A6ACF" w14:paraId="33553503" w14:textId="77777777" w:rsidTr="007B6AFB">
        <w:trPr>
          <w:cantSplit/>
        </w:trPr>
        <w:tc>
          <w:tcPr>
            <w:tcW w:w="5000" w:type="pct"/>
            <w:shd w:val="clear" w:color="auto" w:fill="D9E2F3" w:themeFill="accent1" w:themeFillTint="33"/>
            <w:vAlign w:val="bottom"/>
          </w:tcPr>
          <w:p w14:paraId="765EF11F" w14:textId="237D367B" w:rsidR="007B6AFB" w:rsidRPr="00814CB1" w:rsidRDefault="00DD5E4F" w:rsidP="00814CB1">
            <w:pPr>
              <w:pStyle w:val="DHHSbody"/>
              <w:rPr>
                <w:szCs w:val="24"/>
              </w:rPr>
            </w:pPr>
            <w:r>
              <w:t>Th</w:t>
            </w:r>
            <w:r w:rsidR="00F524F0">
              <w:t>ese terms of reference were developed for the Positive Ageing Advocacy Group, established under the auspices of Castlemaine Community House to provide input and advocacy on age-friendly initiatives in Mount Alexander Shire</w:t>
            </w:r>
          </w:p>
        </w:tc>
      </w:tr>
    </w:tbl>
    <w:p w14:paraId="0A329C2D" w14:textId="77777777" w:rsidR="00D478EB" w:rsidRDefault="00D478EB" w:rsidP="00D478EB">
      <w:pPr>
        <w:pStyle w:val="Heading1"/>
      </w:pPr>
      <w:r>
        <w:t>Purpose</w:t>
      </w:r>
    </w:p>
    <w:p w14:paraId="14E5909B" w14:textId="77777777" w:rsidR="00D478EB" w:rsidRDefault="00D478EB" w:rsidP="00D478EB">
      <w:pPr>
        <w:pStyle w:val="DHHSbody"/>
      </w:pPr>
      <w:r>
        <w:t>The Positive Ageing Advocacy group will empower older community members to have a voice in the governance of their community.</w:t>
      </w:r>
    </w:p>
    <w:p w14:paraId="45E94A39" w14:textId="77777777" w:rsidR="00D478EB" w:rsidRDefault="00D478EB" w:rsidP="00D478EB">
      <w:pPr>
        <w:pStyle w:val="DHHSbody"/>
      </w:pPr>
      <w:r>
        <w:t>The group is a platform for advocacy and collective action on issues related to the development of an Age Friendly community in Mount Alexander Shire.</w:t>
      </w:r>
    </w:p>
    <w:p w14:paraId="74331E8A" w14:textId="77777777" w:rsidR="00D478EB" w:rsidRDefault="00D478EB" w:rsidP="00D478EB">
      <w:pPr>
        <w:pStyle w:val="DHHSbody"/>
      </w:pPr>
      <w:r>
        <w:t>The group will explore the issues of social exclusion, social isolation and general health and wellbeing, across sectors of the aged community in the Mount Alexander Shire.</w:t>
      </w:r>
    </w:p>
    <w:p w14:paraId="4D874633" w14:textId="77777777" w:rsidR="00D478EB" w:rsidRDefault="00D478EB" w:rsidP="00D478EB">
      <w:pPr>
        <w:pStyle w:val="DHHSbody"/>
      </w:pPr>
      <w:r>
        <w:t>The definition of advocacy is the act of speaking on the behalf of, or in support of, another person, place, or thing.</w:t>
      </w:r>
    </w:p>
    <w:p w14:paraId="599CE64C" w14:textId="77777777" w:rsidR="00D478EB" w:rsidRDefault="00D478EB" w:rsidP="00D478EB">
      <w:pPr>
        <w:pStyle w:val="Heading1"/>
      </w:pPr>
      <w:r>
        <w:t>Scope</w:t>
      </w:r>
    </w:p>
    <w:p w14:paraId="58660789" w14:textId="471D98FA" w:rsidR="00D478EB" w:rsidRDefault="00D478EB" w:rsidP="00D478EB">
      <w:pPr>
        <w:pStyle w:val="DHHSbody"/>
      </w:pPr>
      <w:r>
        <w:t>The Positive Ageing Advocacy Group will be informed by community consultation outcomes, the Mount Alexander Age Friendly Declaration and may be guided by these eight key age-friendly themes</w:t>
      </w:r>
      <w:r>
        <w:rPr>
          <w:rStyle w:val="FootnoteReference"/>
        </w:rPr>
        <w:footnoteReference w:id="1"/>
      </w:r>
      <w:r>
        <w:t>:</w:t>
      </w:r>
    </w:p>
    <w:p w14:paraId="5D3BE903" w14:textId="266031AE" w:rsidR="00D478EB" w:rsidRDefault="00723CB2" w:rsidP="00D478EB">
      <w:pPr>
        <w:pStyle w:val="DHHSnumberdigit"/>
      </w:pPr>
      <w:r>
        <w:t>o</w:t>
      </w:r>
      <w:r w:rsidR="00D478EB">
        <w:t>utdoor spaces and</w:t>
      </w:r>
      <w:r w:rsidR="00D478EB">
        <w:rPr>
          <w:spacing w:val="-1"/>
        </w:rPr>
        <w:t xml:space="preserve"> </w:t>
      </w:r>
      <w:r w:rsidR="00D478EB">
        <w:t>buildings</w:t>
      </w:r>
    </w:p>
    <w:p w14:paraId="2EC0A49C" w14:textId="72EF2395" w:rsidR="00D478EB" w:rsidRDefault="00723CB2" w:rsidP="00D478EB">
      <w:pPr>
        <w:pStyle w:val="DHHSnumberdigit"/>
      </w:pPr>
      <w:r>
        <w:t>t</w:t>
      </w:r>
      <w:r w:rsidR="00D478EB">
        <w:t>ransport</w:t>
      </w:r>
    </w:p>
    <w:p w14:paraId="1DCADC59" w14:textId="1CB01140" w:rsidR="00D478EB" w:rsidRDefault="00723CB2" w:rsidP="00D478EB">
      <w:pPr>
        <w:pStyle w:val="DHHSnumberdigit"/>
      </w:pPr>
      <w:r>
        <w:t>h</w:t>
      </w:r>
      <w:r w:rsidR="00D478EB">
        <w:t>ousing</w:t>
      </w:r>
    </w:p>
    <w:p w14:paraId="2013DC11" w14:textId="740D8078" w:rsidR="00D478EB" w:rsidRDefault="00723CB2" w:rsidP="00D478EB">
      <w:pPr>
        <w:pStyle w:val="DHHSnumberdigit"/>
      </w:pPr>
      <w:r>
        <w:t>s</w:t>
      </w:r>
      <w:r w:rsidR="00D478EB">
        <w:t>ocial</w:t>
      </w:r>
      <w:r w:rsidR="00D478EB">
        <w:rPr>
          <w:spacing w:val="-2"/>
        </w:rPr>
        <w:t xml:space="preserve"> </w:t>
      </w:r>
      <w:r w:rsidR="00D478EB">
        <w:t>participation</w:t>
      </w:r>
    </w:p>
    <w:p w14:paraId="352F1C3D" w14:textId="260164B0" w:rsidR="00D478EB" w:rsidRDefault="00723CB2" w:rsidP="00D478EB">
      <w:pPr>
        <w:pStyle w:val="DHHSnumberdigit"/>
      </w:pPr>
      <w:r>
        <w:t>r</w:t>
      </w:r>
      <w:r w:rsidR="00D478EB">
        <w:t>espect and social</w:t>
      </w:r>
      <w:r w:rsidR="00D478EB">
        <w:rPr>
          <w:spacing w:val="-3"/>
        </w:rPr>
        <w:t xml:space="preserve"> </w:t>
      </w:r>
      <w:r w:rsidR="00D478EB">
        <w:t>inclusion</w:t>
      </w:r>
    </w:p>
    <w:p w14:paraId="22CEBA87" w14:textId="40A72CB0" w:rsidR="00D478EB" w:rsidRDefault="00723CB2" w:rsidP="00D478EB">
      <w:pPr>
        <w:pStyle w:val="DHHSnumberdigit"/>
      </w:pPr>
      <w:r>
        <w:t>c</w:t>
      </w:r>
      <w:r w:rsidR="00D478EB">
        <w:t>ivic participation and</w:t>
      </w:r>
      <w:r w:rsidR="00D478EB">
        <w:rPr>
          <w:spacing w:val="-6"/>
        </w:rPr>
        <w:t xml:space="preserve"> </w:t>
      </w:r>
      <w:r w:rsidR="00D478EB">
        <w:t>employment</w:t>
      </w:r>
    </w:p>
    <w:p w14:paraId="16FB52BA" w14:textId="4B78DDAA" w:rsidR="00D478EB" w:rsidRDefault="00723CB2" w:rsidP="00D478EB">
      <w:pPr>
        <w:pStyle w:val="DHHSnumberdigit"/>
      </w:pPr>
      <w:r>
        <w:t>c</w:t>
      </w:r>
      <w:r w:rsidR="00D478EB">
        <w:t>ommunication and</w:t>
      </w:r>
      <w:r w:rsidR="00D478EB">
        <w:rPr>
          <w:spacing w:val="-3"/>
        </w:rPr>
        <w:t xml:space="preserve"> </w:t>
      </w:r>
      <w:r w:rsidR="00D478EB">
        <w:t>information</w:t>
      </w:r>
    </w:p>
    <w:p w14:paraId="45BA4D2B" w14:textId="0B58E9C3" w:rsidR="00D478EB" w:rsidRDefault="00723CB2" w:rsidP="00D478EB">
      <w:pPr>
        <w:pStyle w:val="DHHSnumberdigit"/>
      </w:pPr>
      <w:r>
        <w:t>c</w:t>
      </w:r>
      <w:r w:rsidR="00D478EB">
        <w:t>ommunity support and health</w:t>
      </w:r>
      <w:r w:rsidR="00D478EB">
        <w:rPr>
          <w:spacing w:val="-3"/>
        </w:rPr>
        <w:t xml:space="preserve"> </w:t>
      </w:r>
      <w:r w:rsidR="00D478EB">
        <w:t>services</w:t>
      </w:r>
    </w:p>
    <w:p w14:paraId="08881564" w14:textId="77777777" w:rsidR="00D478EB" w:rsidRDefault="00D478EB" w:rsidP="00D478EB">
      <w:pPr>
        <w:pStyle w:val="DHHSbody"/>
      </w:pPr>
      <w:r>
        <w:t>The Positive Ageing Advocacy Group will work in the Mount Alexander Shire area.</w:t>
      </w:r>
    </w:p>
    <w:p w14:paraId="67202E66" w14:textId="77777777" w:rsidR="00D478EB" w:rsidRDefault="00D478EB" w:rsidP="003F71D4">
      <w:pPr>
        <w:pStyle w:val="Heading1"/>
        <w:spacing w:line="240" w:lineRule="auto"/>
      </w:pPr>
      <w:r>
        <w:lastRenderedPageBreak/>
        <w:t>Objectives</w:t>
      </w:r>
    </w:p>
    <w:p w14:paraId="33229C03" w14:textId="77777777" w:rsidR="00D478EB" w:rsidRDefault="00D478EB" w:rsidP="003F71D4">
      <w:pPr>
        <w:pStyle w:val="DHHSbody"/>
        <w:keepNext/>
        <w:keepLines/>
        <w:spacing w:line="240" w:lineRule="auto"/>
      </w:pPr>
      <w:r>
        <w:t>The Positive Ageing Advocacy Group will:</w:t>
      </w:r>
    </w:p>
    <w:p w14:paraId="7E63A29D" w14:textId="4B1E6169" w:rsidR="00D478EB" w:rsidRDefault="00D478EB" w:rsidP="00D478EB">
      <w:pPr>
        <w:pStyle w:val="DHHSbullet1"/>
      </w:pPr>
      <w:r>
        <w:t>advocate for improvements to universal access in local services and infrastructure, especially for hard-to-reach and vulnerable older</w:t>
      </w:r>
      <w:r>
        <w:rPr>
          <w:spacing w:val="-4"/>
        </w:rPr>
        <w:t xml:space="preserve"> </w:t>
      </w:r>
      <w:r>
        <w:t>people.</w:t>
      </w:r>
    </w:p>
    <w:p w14:paraId="673D2BA0" w14:textId="7B0A1521" w:rsidR="00D478EB" w:rsidRDefault="00D478EB" w:rsidP="00D478EB">
      <w:pPr>
        <w:pStyle w:val="DHHSbullet1"/>
      </w:pPr>
      <w:r>
        <w:t>inform government and other stakeholder organisations on matters concerning the health and wellbeing needs of older</w:t>
      </w:r>
      <w:r>
        <w:rPr>
          <w:spacing w:val="-2"/>
        </w:rPr>
        <w:t xml:space="preserve"> </w:t>
      </w:r>
      <w:r>
        <w:t>people.</w:t>
      </w:r>
    </w:p>
    <w:p w14:paraId="3F78B390" w14:textId="4FB1AA69" w:rsidR="00D478EB" w:rsidRPr="00D478EB" w:rsidRDefault="00D478EB" w:rsidP="00D478EB">
      <w:pPr>
        <w:pStyle w:val="DHHSbullet1"/>
      </w:pPr>
      <w:r>
        <w:t>provide an independent consultative forum for government and other stakeholder organisations to engage the community regarding Positive Ageing policy and</w:t>
      </w:r>
      <w:r>
        <w:rPr>
          <w:spacing w:val="-5"/>
        </w:rPr>
        <w:t xml:space="preserve"> </w:t>
      </w:r>
      <w:r>
        <w:t>planning.</w:t>
      </w:r>
    </w:p>
    <w:p w14:paraId="0F5EA72A" w14:textId="497624E5" w:rsidR="00D478EB" w:rsidRPr="00D478EB" w:rsidRDefault="00D478EB" w:rsidP="00D478EB">
      <w:pPr>
        <w:pStyle w:val="DHHSbullet1"/>
      </w:pPr>
      <w:r>
        <w:t>communicate with the broader community about Age Friendly</w:t>
      </w:r>
      <w:r>
        <w:rPr>
          <w:spacing w:val="-6"/>
        </w:rPr>
        <w:t xml:space="preserve"> </w:t>
      </w:r>
      <w:r>
        <w:t>practises.</w:t>
      </w:r>
    </w:p>
    <w:p w14:paraId="515360F5" w14:textId="3DEEA752" w:rsidR="00D478EB" w:rsidRPr="00D478EB" w:rsidRDefault="00D478EB" w:rsidP="00D478EB">
      <w:pPr>
        <w:pStyle w:val="DHHSbullet1"/>
      </w:pPr>
      <w:r>
        <w:t>discuss issues that may impact on the health and wellbeing of older people in the</w:t>
      </w:r>
      <w:r>
        <w:rPr>
          <w:spacing w:val="-21"/>
        </w:rPr>
        <w:t xml:space="preserve"> </w:t>
      </w:r>
      <w:r>
        <w:t>community;</w:t>
      </w:r>
    </w:p>
    <w:p w14:paraId="5E60D199" w14:textId="17D7572A" w:rsidR="00D478EB" w:rsidRPr="00D478EB" w:rsidRDefault="00D478EB" w:rsidP="00D478EB">
      <w:pPr>
        <w:pStyle w:val="DHHSbullet1"/>
      </w:pPr>
      <w:r>
        <w:t>provide a platform for advocacy and shared planning for the creation of age friendly</w:t>
      </w:r>
      <w:r>
        <w:rPr>
          <w:spacing w:val="-15"/>
        </w:rPr>
        <w:t xml:space="preserve"> </w:t>
      </w:r>
      <w:r>
        <w:t>communities.</w:t>
      </w:r>
    </w:p>
    <w:p w14:paraId="36E76C94" w14:textId="61A6B539" w:rsidR="00D478EB" w:rsidRPr="00D478EB" w:rsidRDefault="00D478EB" w:rsidP="00D478EB">
      <w:pPr>
        <w:pStyle w:val="DHHSbullet1"/>
      </w:pPr>
      <w:r>
        <w:t>develop relationships with local agencies so older people’s voices are</w:t>
      </w:r>
      <w:r>
        <w:rPr>
          <w:spacing w:val="-12"/>
        </w:rPr>
        <w:t xml:space="preserve"> </w:t>
      </w:r>
      <w:r>
        <w:t>heard.</w:t>
      </w:r>
    </w:p>
    <w:p w14:paraId="04525746" w14:textId="77777777" w:rsidR="00D478EB" w:rsidRDefault="00D478EB" w:rsidP="00D478EB">
      <w:pPr>
        <w:pStyle w:val="Heading1"/>
      </w:pPr>
      <w:r>
        <w:t>Duration</w:t>
      </w:r>
    </w:p>
    <w:p w14:paraId="78FF9315" w14:textId="0A2F772A" w:rsidR="00D478EB" w:rsidRDefault="00D478EB" w:rsidP="00D478EB">
      <w:pPr>
        <w:pStyle w:val="DHHSbody"/>
      </w:pPr>
      <w:r>
        <w:t>The Positive Ageing Advocacy Group is ongoing.</w:t>
      </w:r>
    </w:p>
    <w:p w14:paraId="32D377E3" w14:textId="77777777" w:rsidR="00D478EB" w:rsidRDefault="00D478EB" w:rsidP="00D478EB">
      <w:pPr>
        <w:pStyle w:val="DHHSbody"/>
      </w:pPr>
      <w:r>
        <w:t>Terms of Reference documents will be reviewed within the first six months of starting and every two years from then on.</w:t>
      </w:r>
    </w:p>
    <w:p w14:paraId="40191575" w14:textId="01A2F777" w:rsidR="00D478EB" w:rsidRDefault="00D478EB" w:rsidP="00D478EB">
      <w:pPr>
        <w:pStyle w:val="DHHSbody"/>
      </w:pPr>
      <w:r>
        <w:t>Positive Ageing Advocacy Group members will be appointed for a period of two years.</w:t>
      </w:r>
    </w:p>
    <w:p w14:paraId="792D2C4C" w14:textId="77777777" w:rsidR="00D478EB" w:rsidRDefault="00D478EB" w:rsidP="00D478EB">
      <w:pPr>
        <w:pStyle w:val="Heading1"/>
      </w:pPr>
      <w:r>
        <w:t>Membership</w:t>
      </w:r>
    </w:p>
    <w:p w14:paraId="5FBF6D92" w14:textId="77777777" w:rsidR="00D478EB" w:rsidRDefault="00D478EB" w:rsidP="00D478EB">
      <w:pPr>
        <w:pStyle w:val="DHHSbody"/>
      </w:pPr>
      <w:r>
        <w:t>The Positive Ageing Advocacy Group will be made up of:</w:t>
      </w:r>
    </w:p>
    <w:p w14:paraId="76975D95" w14:textId="4A63749C" w:rsidR="00D478EB" w:rsidRDefault="00D478EB" w:rsidP="00D478EB">
      <w:pPr>
        <w:pStyle w:val="DHHSbullet1lastline"/>
      </w:pPr>
      <w:r>
        <w:t xml:space="preserve">12 independent members, a minimum of six must be local residents, and the rest may be local residents or representatives of </w:t>
      </w:r>
      <w:r w:rsidRPr="00D478EB">
        <w:t>relevant</w:t>
      </w:r>
      <w:r>
        <w:t xml:space="preserve"> service</w:t>
      </w:r>
      <w:r>
        <w:rPr>
          <w:spacing w:val="-3"/>
        </w:rPr>
        <w:t xml:space="preserve"> </w:t>
      </w:r>
      <w:r>
        <w:t>providers.</w:t>
      </w:r>
    </w:p>
    <w:p w14:paraId="07E6398F" w14:textId="77777777" w:rsidR="00D478EB" w:rsidRDefault="00D478EB" w:rsidP="00D478EB">
      <w:pPr>
        <w:pStyle w:val="DHHSbody"/>
      </w:pPr>
      <w:r>
        <w:t xml:space="preserve">Membership of the Positive Ageing Advocacy Group is voluntary. All members must be over 18 years of age. The Manager of Castlemaine Community House or their </w:t>
      </w:r>
      <w:r w:rsidRPr="00D478EB">
        <w:t>representative</w:t>
      </w:r>
      <w:r>
        <w:t xml:space="preserve"> will support the work of the Group. </w:t>
      </w:r>
    </w:p>
    <w:p w14:paraId="27EE1491" w14:textId="38D0F5D3" w:rsidR="00D478EB" w:rsidRDefault="00D478EB" w:rsidP="00D478EB">
      <w:pPr>
        <w:pStyle w:val="Heading1"/>
      </w:pPr>
      <w:r>
        <w:t>Auspice relationship</w:t>
      </w:r>
    </w:p>
    <w:p w14:paraId="6FCF9922" w14:textId="26305E4F" w:rsidR="00D478EB" w:rsidRDefault="00D478EB" w:rsidP="00D478EB">
      <w:pPr>
        <w:pStyle w:val="DHHSbody"/>
      </w:pPr>
      <w:r>
        <w:t>Castlemaine Community House will auspice the Positive Ageing Advocacy Group until June 2018. The Auspice agreement will be reviewed at this time.</w:t>
      </w:r>
    </w:p>
    <w:p w14:paraId="6BAB5694" w14:textId="5DF9F779" w:rsidR="00D478EB" w:rsidRDefault="00D478EB" w:rsidP="00D478EB">
      <w:pPr>
        <w:pStyle w:val="Heading1"/>
      </w:pPr>
      <w:r>
        <w:t>Skills and c</w:t>
      </w:r>
      <w:r w:rsidRPr="00D478EB">
        <w:t>apabilities</w:t>
      </w:r>
    </w:p>
    <w:p w14:paraId="5CC3B36E" w14:textId="77777777" w:rsidR="00D478EB" w:rsidRDefault="00D478EB" w:rsidP="00D478EB">
      <w:pPr>
        <w:pStyle w:val="DHHSbody"/>
      </w:pPr>
      <w:r>
        <w:t>Members of the Positive Ageing Advocacy Group should have the following skills and resources:</w:t>
      </w:r>
    </w:p>
    <w:p w14:paraId="2EF2029E" w14:textId="364C9F7F" w:rsidR="00D478EB" w:rsidRPr="00D478EB" w:rsidRDefault="00D478EB" w:rsidP="00D478EB">
      <w:pPr>
        <w:pStyle w:val="DHHSbullet1"/>
      </w:pPr>
      <w:r>
        <w:t>u</w:t>
      </w:r>
      <w:r w:rsidRPr="00D478EB">
        <w:t>nderstanding of local issues, values and goals relating to positive ageing</w:t>
      </w:r>
    </w:p>
    <w:p w14:paraId="155B3853" w14:textId="1222F64B" w:rsidR="00D478EB" w:rsidRPr="00D478EB" w:rsidRDefault="00D478EB" w:rsidP="00D478EB">
      <w:pPr>
        <w:pStyle w:val="DHHSbullet1"/>
      </w:pPr>
      <w:r>
        <w:t>a</w:t>
      </w:r>
      <w:r w:rsidRPr="00D478EB">
        <w:t>bility to cooperate with others and work as a team</w:t>
      </w:r>
    </w:p>
    <w:p w14:paraId="678C8238" w14:textId="16414FC1" w:rsidR="00D478EB" w:rsidRPr="00D478EB" w:rsidRDefault="00D478EB" w:rsidP="00D478EB">
      <w:pPr>
        <w:pStyle w:val="DHHSbullet1"/>
      </w:pPr>
      <w:r>
        <w:t>w</w:t>
      </w:r>
      <w:r w:rsidRPr="00D478EB">
        <w:t>illingness to attend and contribute to meetings in a fair and unbiased manner</w:t>
      </w:r>
    </w:p>
    <w:p w14:paraId="146C95C8" w14:textId="4A6D45E5" w:rsidR="00D478EB" w:rsidRPr="00D478EB" w:rsidRDefault="00D478EB" w:rsidP="00D478EB">
      <w:pPr>
        <w:pStyle w:val="DHHSbullet1"/>
      </w:pPr>
      <w:r>
        <w:t>a</w:t>
      </w:r>
      <w:r w:rsidRPr="00D478EB">
        <w:t>bility to value diverse perspectives</w:t>
      </w:r>
    </w:p>
    <w:p w14:paraId="24BAE1AA" w14:textId="1365A409" w:rsidR="00D478EB" w:rsidRPr="00D478EB" w:rsidRDefault="00D478EB" w:rsidP="00D478EB">
      <w:pPr>
        <w:pStyle w:val="DHHSbullet1"/>
      </w:pPr>
      <w:r>
        <w:t>c</w:t>
      </w:r>
      <w:r w:rsidRPr="00D478EB">
        <w:t>ommunity connections and networks</w:t>
      </w:r>
    </w:p>
    <w:p w14:paraId="306FFF97" w14:textId="29320B6D" w:rsidR="00D478EB" w:rsidRPr="00D478EB" w:rsidRDefault="00D478EB" w:rsidP="00D478EB">
      <w:pPr>
        <w:pStyle w:val="DHHSbullet1lastline"/>
      </w:pPr>
      <w:r>
        <w:t>a</w:t>
      </w:r>
      <w:r w:rsidRPr="00D478EB">
        <w:t>vailability of time.</w:t>
      </w:r>
    </w:p>
    <w:p w14:paraId="30C9A4D3" w14:textId="77777777" w:rsidR="00D478EB" w:rsidRDefault="00D478EB" w:rsidP="00D478EB">
      <w:pPr>
        <w:pStyle w:val="DHHSbody"/>
      </w:pPr>
      <w:r>
        <w:t>These skills and resources will be used as the selection criteria to assess membership of the Positive Ageing Advocacy Group.</w:t>
      </w:r>
    </w:p>
    <w:p w14:paraId="198071D9" w14:textId="5997C1BC" w:rsidR="00D478EB" w:rsidRDefault="00D478EB" w:rsidP="00D478EB">
      <w:pPr>
        <w:pStyle w:val="Heading1"/>
      </w:pPr>
      <w:r>
        <w:lastRenderedPageBreak/>
        <w:t xml:space="preserve">Selection </w:t>
      </w:r>
      <w:r w:rsidRPr="00D478EB">
        <w:t>process</w:t>
      </w:r>
    </w:p>
    <w:p w14:paraId="5C579420" w14:textId="77777777" w:rsidR="00D478EB" w:rsidRDefault="00D478EB" w:rsidP="00D478EB">
      <w:pPr>
        <w:pStyle w:val="DHHSbody"/>
      </w:pPr>
      <w:r>
        <w:t>Membership will be sought by:</w:t>
      </w:r>
    </w:p>
    <w:p w14:paraId="245D4848" w14:textId="2DF02EE7" w:rsidR="00D478EB" w:rsidRDefault="00D478EB" w:rsidP="00D478EB">
      <w:pPr>
        <w:pStyle w:val="DHHSbullet1"/>
      </w:pPr>
      <w:r>
        <w:t>advertisement in the local</w:t>
      </w:r>
      <w:r>
        <w:rPr>
          <w:spacing w:val="-6"/>
        </w:rPr>
        <w:t xml:space="preserve"> </w:t>
      </w:r>
      <w:r>
        <w:t>media</w:t>
      </w:r>
    </w:p>
    <w:p w14:paraId="29AACB3F" w14:textId="72441314" w:rsidR="00D478EB" w:rsidRDefault="00D478EB" w:rsidP="00D478EB">
      <w:pPr>
        <w:pStyle w:val="DHHSbullet1"/>
      </w:pPr>
      <w:r>
        <w:t>relevant networks</w:t>
      </w:r>
    </w:p>
    <w:p w14:paraId="1844089B" w14:textId="77777777" w:rsidR="00D478EB" w:rsidRDefault="00D478EB" w:rsidP="00D478EB">
      <w:pPr>
        <w:pStyle w:val="DHHSbullet1lastline"/>
      </w:pPr>
      <w:r>
        <w:t>and by</w:t>
      </w:r>
      <w:r>
        <w:rPr>
          <w:spacing w:val="-2"/>
        </w:rPr>
        <w:t xml:space="preserve"> </w:t>
      </w:r>
      <w:r>
        <w:t>invitation.</w:t>
      </w:r>
    </w:p>
    <w:p w14:paraId="0C144D8E" w14:textId="77777777" w:rsidR="00D478EB" w:rsidRPr="00D478EB" w:rsidRDefault="00D478EB" w:rsidP="00D478EB">
      <w:pPr>
        <w:pStyle w:val="DHHSbody"/>
      </w:pPr>
      <w:r w:rsidRPr="00D478EB">
        <w:t>The responses will provide a registration of interest in membership.</w:t>
      </w:r>
    </w:p>
    <w:p w14:paraId="01F00932" w14:textId="77777777" w:rsidR="00D478EB" w:rsidRPr="00D478EB" w:rsidRDefault="00D478EB" w:rsidP="00D478EB">
      <w:pPr>
        <w:pStyle w:val="DHHSbody"/>
      </w:pPr>
      <w:r w:rsidRPr="00D478EB">
        <w:t>This will provide a basic level of information about the nominee and address the selection criteria.</w:t>
      </w:r>
    </w:p>
    <w:p w14:paraId="63EBA29B" w14:textId="77777777" w:rsidR="00D478EB" w:rsidRPr="00D478EB" w:rsidRDefault="00D478EB" w:rsidP="00D478EB">
      <w:pPr>
        <w:pStyle w:val="DHHSbody"/>
      </w:pPr>
      <w:r w:rsidRPr="00D478EB">
        <w:t>The Age Friendly Communities Steering Committee will assess the nominations and endorse membership for the establishment of the Positive Ageing Advocacy Group. The Positive Ageing Advocacy Group will assess nominations and endorse membership after the establishment of the group. Nominations from diverse groups will be highly valued.</w:t>
      </w:r>
    </w:p>
    <w:p w14:paraId="61C9F018" w14:textId="77777777" w:rsidR="00D478EB" w:rsidRPr="00D478EB" w:rsidRDefault="00D478EB" w:rsidP="00D478EB">
      <w:pPr>
        <w:pStyle w:val="DHHSbody"/>
      </w:pPr>
      <w:r w:rsidRPr="00D478EB">
        <w:t>Upon acceptance of the nomination for the Positive Ageing Advocacy Group, each member will read and sign the Code of Conduct (outlined below).</w:t>
      </w:r>
    </w:p>
    <w:p w14:paraId="1B0CB61E" w14:textId="77777777" w:rsidR="00D478EB" w:rsidRPr="00D478EB" w:rsidRDefault="00D478EB" w:rsidP="00D478EB">
      <w:pPr>
        <w:pStyle w:val="DHHSbody"/>
      </w:pPr>
      <w:r w:rsidRPr="00D478EB">
        <w:t>If community or service provider vacancies arise during the life of the Advocacy group, these will be addressed through the process outlined above. Nominations will be endorsed by the Advocacy Group.</w:t>
      </w:r>
    </w:p>
    <w:p w14:paraId="4916E551" w14:textId="76F77344" w:rsidR="00D478EB" w:rsidRDefault="00D478EB" w:rsidP="00D478EB">
      <w:pPr>
        <w:pStyle w:val="Heading1"/>
      </w:pPr>
      <w:r>
        <w:t>Responsibilities of members</w:t>
      </w:r>
    </w:p>
    <w:p w14:paraId="4BE3ADF9" w14:textId="77777777" w:rsidR="00D478EB" w:rsidRDefault="00D478EB" w:rsidP="00D478EB">
      <w:pPr>
        <w:pStyle w:val="DHHSbody"/>
      </w:pPr>
      <w:r>
        <w:t>The members of the Positive Ageing Advocacy Group will:</w:t>
      </w:r>
    </w:p>
    <w:p w14:paraId="2D9EF111" w14:textId="6C3F79FC" w:rsidR="00D478EB" w:rsidRDefault="00D478EB" w:rsidP="00D478EB">
      <w:pPr>
        <w:pStyle w:val="DHHSbullet1"/>
      </w:pPr>
      <w:r>
        <w:t xml:space="preserve">attend </w:t>
      </w:r>
      <w:r w:rsidRPr="00D478EB">
        <w:t>meetings</w:t>
      </w:r>
      <w:r>
        <w:t xml:space="preserve"> of the Advocacy Group on a regular</w:t>
      </w:r>
      <w:r>
        <w:rPr>
          <w:spacing w:val="-14"/>
        </w:rPr>
        <w:t xml:space="preserve"> </w:t>
      </w:r>
      <w:r>
        <w:t>basis</w:t>
      </w:r>
    </w:p>
    <w:p w14:paraId="289EB5A5" w14:textId="26F3CCB5" w:rsidR="00D478EB" w:rsidRPr="00D478EB" w:rsidRDefault="00D478EB" w:rsidP="00D478EB">
      <w:pPr>
        <w:pStyle w:val="DHHSbullet1"/>
      </w:pPr>
      <w:r>
        <w:t>represent the diverse interests of the local community and services, rather than individual</w:t>
      </w:r>
      <w:r>
        <w:rPr>
          <w:spacing w:val="-14"/>
        </w:rPr>
        <w:t xml:space="preserve"> </w:t>
      </w:r>
      <w:r>
        <w:t>interests</w:t>
      </w:r>
    </w:p>
    <w:p w14:paraId="3EB6B223" w14:textId="442B3FF2" w:rsidR="00D478EB" w:rsidRDefault="00D478EB" w:rsidP="00D478EB">
      <w:pPr>
        <w:pStyle w:val="DHHSbullet1"/>
      </w:pPr>
      <w:r>
        <w:t>respect the views, ideas and beliefs of the other appointed</w:t>
      </w:r>
      <w:r>
        <w:rPr>
          <w:spacing w:val="-14"/>
        </w:rPr>
        <w:t xml:space="preserve"> </w:t>
      </w:r>
      <w:r>
        <w:t>members</w:t>
      </w:r>
    </w:p>
    <w:p w14:paraId="0D17F3A6" w14:textId="549DC8C0" w:rsidR="00D478EB" w:rsidRDefault="00D478EB" w:rsidP="00D478EB">
      <w:pPr>
        <w:pStyle w:val="DHHSbullet1lastline"/>
      </w:pPr>
      <w:r>
        <w:t xml:space="preserve">play an active role in the </w:t>
      </w:r>
      <w:r w:rsidRPr="00D478EB">
        <w:t>discussion</w:t>
      </w:r>
      <w:r>
        <w:t xml:space="preserve"> and work of the Positive Ageing Advocacy</w:t>
      </w:r>
      <w:r>
        <w:rPr>
          <w:spacing w:val="-18"/>
        </w:rPr>
        <w:t xml:space="preserve"> </w:t>
      </w:r>
      <w:r>
        <w:t>Group.</w:t>
      </w:r>
    </w:p>
    <w:p w14:paraId="166DC44E" w14:textId="5F77AB0C" w:rsidR="00D478EB" w:rsidRDefault="00D478EB" w:rsidP="00D478EB">
      <w:pPr>
        <w:pStyle w:val="Heading1"/>
      </w:pPr>
      <w:r>
        <w:t>Meeting procedures</w:t>
      </w:r>
    </w:p>
    <w:p w14:paraId="7F0589C8" w14:textId="77777777" w:rsidR="00D478EB" w:rsidRDefault="00D478EB" w:rsidP="00D478EB">
      <w:pPr>
        <w:pStyle w:val="DHHSbody"/>
      </w:pPr>
      <w:r>
        <w:t xml:space="preserve">Office-bearers will hold their position for a period of two years. </w:t>
      </w:r>
    </w:p>
    <w:p w14:paraId="725AE6B7" w14:textId="0CE9C3B4" w:rsidR="00D478EB" w:rsidRDefault="00D478EB" w:rsidP="00D478EB">
      <w:pPr>
        <w:pStyle w:val="Heading2"/>
      </w:pPr>
      <w:r>
        <w:t>Chairperson</w:t>
      </w:r>
    </w:p>
    <w:p w14:paraId="2451FB6F" w14:textId="77777777" w:rsidR="00D478EB" w:rsidRPr="00D478EB" w:rsidRDefault="00D478EB" w:rsidP="00D478EB">
      <w:pPr>
        <w:pStyle w:val="DHHSbody"/>
      </w:pPr>
      <w:r w:rsidRPr="00D478EB">
        <w:t>The Chairperson is responsible for the conduct of meetings, ensuring all voices and views are heard and that the process is consistent with the Terms of Reference. The Chairperson will be the public representative of the Group.</w:t>
      </w:r>
    </w:p>
    <w:p w14:paraId="6117782C" w14:textId="77777777" w:rsidR="00D478EB" w:rsidRPr="00D478EB" w:rsidRDefault="00D478EB" w:rsidP="00D478EB">
      <w:pPr>
        <w:pStyle w:val="DHHSbody"/>
      </w:pPr>
      <w:r w:rsidRPr="00D478EB">
        <w:t xml:space="preserve">The Chairperson will be nominated by the Positive Ageing Advocacy Group. </w:t>
      </w:r>
    </w:p>
    <w:p w14:paraId="78279C06" w14:textId="55094E8E" w:rsidR="00D478EB" w:rsidRDefault="00D478EB" w:rsidP="00D478EB">
      <w:pPr>
        <w:pStyle w:val="Heading2"/>
      </w:pPr>
      <w:r>
        <w:t xml:space="preserve">Vice </w:t>
      </w:r>
      <w:r w:rsidRPr="00D478EB">
        <w:t>Chairperson</w:t>
      </w:r>
    </w:p>
    <w:p w14:paraId="2299960E" w14:textId="77777777" w:rsidR="00D478EB" w:rsidRDefault="00D478EB" w:rsidP="00D478EB">
      <w:pPr>
        <w:pStyle w:val="BodyText"/>
        <w:kinsoku w:val="0"/>
        <w:overflowPunct w:val="0"/>
        <w:spacing w:line="278" w:lineRule="auto"/>
        <w:ind w:left="100" w:right="618"/>
      </w:pPr>
      <w:r>
        <w:t>The Vice Chairperson will support the Chairperson in their role and perform the role of Chairperson in their absence.</w:t>
      </w:r>
    </w:p>
    <w:p w14:paraId="1E131A77" w14:textId="77777777" w:rsidR="00D478EB" w:rsidRDefault="00D478EB" w:rsidP="00D478EB">
      <w:pPr>
        <w:pStyle w:val="Heading2"/>
      </w:pPr>
      <w:r w:rsidRPr="00D478EB">
        <w:t>Secretary</w:t>
      </w:r>
    </w:p>
    <w:p w14:paraId="1BA93788" w14:textId="77777777" w:rsidR="00D478EB" w:rsidRDefault="00D478EB" w:rsidP="00D478EB">
      <w:pPr>
        <w:pStyle w:val="DHHSbody"/>
      </w:pPr>
      <w:r>
        <w:t>The Secretary will send and receive correspondence and be the primary contact for the group for administrative purposes.</w:t>
      </w:r>
    </w:p>
    <w:p w14:paraId="45C413EE" w14:textId="6E7FED5C" w:rsidR="00D478EB" w:rsidRDefault="00D478EB" w:rsidP="00D478EB">
      <w:pPr>
        <w:pStyle w:val="Heading2"/>
      </w:pPr>
      <w:r>
        <w:lastRenderedPageBreak/>
        <w:t>Agendas and minutes</w:t>
      </w:r>
    </w:p>
    <w:p w14:paraId="62F7356A" w14:textId="77777777" w:rsidR="00D478EB" w:rsidRDefault="00D478EB" w:rsidP="00D478EB">
      <w:pPr>
        <w:pStyle w:val="DHHSbody"/>
      </w:pPr>
      <w:r>
        <w:t xml:space="preserve">All </w:t>
      </w:r>
      <w:r w:rsidRPr="00D478EB">
        <w:t>meetings</w:t>
      </w:r>
      <w:r>
        <w:t xml:space="preserve"> will have an agenda with minutes recording attendees, apologies, decisions and outcomes. The Chairperson will oversee the preparation of the agenda in consultation with the Secretary. Any member can submit agenda items prior to the finalisation and distribution of the agenda.</w:t>
      </w:r>
    </w:p>
    <w:p w14:paraId="7AF6A221" w14:textId="77777777" w:rsidR="00D478EB" w:rsidRDefault="00D478EB" w:rsidP="00D478EB">
      <w:pPr>
        <w:pStyle w:val="DHHSbody"/>
      </w:pPr>
      <w:r>
        <w:t xml:space="preserve">A CCH </w:t>
      </w:r>
      <w:r w:rsidRPr="00D478EB">
        <w:t>staff</w:t>
      </w:r>
      <w:r>
        <w:t xml:space="preserve"> representative will provide administrative support to the Positive Ageing Advocacy Group and will ensure timely preparation and distribution of agendas and minutes.</w:t>
      </w:r>
    </w:p>
    <w:p w14:paraId="62B6BE2D" w14:textId="77777777" w:rsidR="00D478EB" w:rsidRDefault="00D478EB" w:rsidP="00D478EB">
      <w:pPr>
        <w:pStyle w:val="DHHSbody"/>
      </w:pPr>
      <w:r>
        <w:t xml:space="preserve">Minutes and agendas will </w:t>
      </w:r>
      <w:r w:rsidRPr="00D478EB">
        <w:t>be</w:t>
      </w:r>
      <w:r>
        <w:t xml:space="preserve"> submitted to the auspice body in a timely manner.</w:t>
      </w:r>
    </w:p>
    <w:p w14:paraId="0C3AB2CC" w14:textId="77777777" w:rsidR="00D478EB" w:rsidRDefault="00D478EB" w:rsidP="00D478EB">
      <w:pPr>
        <w:pStyle w:val="Heading1"/>
      </w:pPr>
      <w:r w:rsidRPr="00D478EB">
        <w:t>Quorum</w:t>
      </w:r>
    </w:p>
    <w:p w14:paraId="22DB67B4" w14:textId="79860C0E" w:rsidR="00D478EB" w:rsidRDefault="00D478EB" w:rsidP="00D478EB">
      <w:pPr>
        <w:pStyle w:val="DHHSbody"/>
      </w:pPr>
      <w:r>
        <w:t>Quorum will be at least six members of the group or over 50 per cent of the total number. Meetings will be deferred if quorum is not reached.</w:t>
      </w:r>
    </w:p>
    <w:p w14:paraId="29C54E5E" w14:textId="788F6252" w:rsidR="00D478EB" w:rsidRDefault="00D478EB" w:rsidP="00D478EB">
      <w:pPr>
        <w:pStyle w:val="Heading1"/>
      </w:pPr>
      <w:r>
        <w:t>Decision making</w:t>
      </w:r>
    </w:p>
    <w:p w14:paraId="1A3560C2" w14:textId="77777777" w:rsidR="00D478EB" w:rsidRDefault="00D478EB" w:rsidP="00D478EB">
      <w:pPr>
        <w:pStyle w:val="DHHSbody"/>
      </w:pPr>
      <w:r>
        <w:t>It is preferable that decisions of the Positive Ageing Advocacy Group are made by consensus however; there may be circumstances where a matter is decided by a vote. Each member is entitled to one vote. The Chairperson may exercise a casting vote if this is necessary.</w:t>
      </w:r>
    </w:p>
    <w:p w14:paraId="4CAE61E9" w14:textId="566B55EA" w:rsidR="00D478EB" w:rsidRDefault="00D478EB" w:rsidP="00D478EB">
      <w:pPr>
        <w:pStyle w:val="Heading1"/>
      </w:pPr>
      <w:r>
        <w:t>Meeting frequency</w:t>
      </w:r>
    </w:p>
    <w:p w14:paraId="63D3C6D2" w14:textId="77777777" w:rsidR="00D478EB" w:rsidRDefault="00D478EB" w:rsidP="00D478EB">
      <w:pPr>
        <w:pStyle w:val="DHHSbody"/>
      </w:pPr>
      <w:r>
        <w:t>Meetings shall be held at least every second month throughout the life of the Positive Ageing Advocacy Group. A schedule of meetings shall be prepared in advance and distributed to all members. Under special circumstances a meeting may be postponed or cancelled.</w:t>
      </w:r>
    </w:p>
    <w:p w14:paraId="4E7F55DB" w14:textId="1EBF0E52" w:rsidR="00D478EB" w:rsidRDefault="00D478EB" w:rsidP="00D478EB">
      <w:pPr>
        <w:pStyle w:val="Heading1"/>
      </w:pPr>
      <w:r>
        <w:t>Meeting venue</w:t>
      </w:r>
    </w:p>
    <w:p w14:paraId="53793813" w14:textId="77777777" w:rsidR="00D478EB" w:rsidRDefault="00D478EB" w:rsidP="00D478EB">
      <w:pPr>
        <w:pStyle w:val="DHHSbody"/>
      </w:pPr>
      <w:r>
        <w:t>A room at Castlemaine Community House (CCH)</w:t>
      </w:r>
    </w:p>
    <w:p w14:paraId="17D8E9A7" w14:textId="4E9A8C26" w:rsidR="00D478EB" w:rsidRDefault="00D478EB" w:rsidP="00D478EB">
      <w:pPr>
        <w:pStyle w:val="Heading1"/>
      </w:pPr>
      <w:r>
        <w:t>Conflict of interest</w:t>
      </w:r>
    </w:p>
    <w:p w14:paraId="4504A822" w14:textId="77777777" w:rsidR="00D478EB" w:rsidRDefault="00D478EB" w:rsidP="00D478EB">
      <w:pPr>
        <w:pStyle w:val="DHHSbody"/>
      </w:pPr>
      <w:r>
        <w:t>Any matter deemed by a member to represent a Conflict of Interest shall be reported to the Chairperson either prior to a meeting or before the specific item is discussed.</w:t>
      </w:r>
    </w:p>
    <w:p w14:paraId="112F92C1" w14:textId="77777777" w:rsidR="00D478EB" w:rsidRDefault="00D478EB" w:rsidP="00D478EB">
      <w:pPr>
        <w:pStyle w:val="Heading1"/>
      </w:pPr>
      <w:r>
        <w:t>Settlement of disputes</w:t>
      </w:r>
    </w:p>
    <w:p w14:paraId="33DD020F" w14:textId="77777777" w:rsidR="00D478EB" w:rsidRDefault="00D478EB" w:rsidP="00D478EB">
      <w:pPr>
        <w:pStyle w:val="DHHSbody"/>
      </w:pPr>
      <w:r>
        <w:t>Any conflict or dispute shall be discussed and handled in good faith. In doing so, all parties will nominate a person responsible for liaising between parties with regard to the dispute.</w:t>
      </w:r>
    </w:p>
    <w:p w14:paraId="0F308536" w14:textId="77777777" w:rsidR="00D478EB" w:rsidRDefault="00D478EB" w:rsidP="00D478EB">
      <w:pPr>
        <w:pStyle w:val="DHHSbody"/>
      </w:pPr>
      <w:r>
        <w:t>The persons nominated by each party shall work together to attempt to resolve the dispute through negotiation, mediation or conciliation but not through arbitration or litigation.</w:t>
      </w:r>
    </w:p>
    <w:p w14:paraId="53732B3A" w14:textId="77777777" w:rsidR="00D478EB" w:rsidRDefault="00D478EB" w:rsidP="00D478EB">
      <w:pPr>
        <w:pStyle w:val="DHHSbody"/>
      </w:pPr>
      <w:r>
        <w:t>Any costs associated with mediation or other alternative dispute resolution procedures shall be borne equally by both parties.</w:t>
      </w:r>
    </w:p>
    <w:p w14:paraId="26897FB5" w14:textId="044E3C45" w:rsidR="00D478EB" w:rsidRDefault="00D478EB" w:rsidP="00D478EB">
      <w:pPr>
        <w:pStyle w:val="DHHSbody"/>
      </w:pPr>
      <w:r>
        <w:t>In the case that negotiation, mediation or conciliation is unsuccessful, the conflict or dispute will be elevated to the Positive Ageing Steering Committee for resolution.</w:t>
      </w:r>
    </w:p>
    <w:p w14:paraId="35E88CC7" w14:textId="7845CC49" w:rsidR="00D478EB" w:rsidRDefault="00D478EB" w:rsidP="00D478EB">
      <w:pPr>
        <w:pStyle w:val="Heading1"/>
        <w:rPr>
          <w:rFonts w:ascii="Times New Roman" w:hAnsi="Times New Roman" w:cs="Times New Roman"/>
          <w:b/>
          <w:bCs w:val="0"/>
          <w:spacing w:val="-71"/>
        </w:rPr>
      </w:pPr>
      <w:r w:rsidRPr="00D478EB">
        <w:lastRenderedPageBreak/>
        <w:t>Member’s</w:t>
      </w:r>
      <w:r>
        <w:t xml:space="preserve"> </w:t>
      </w:r>
      <w:r w:rsidR="005B157B">
        <w:t>c</w:t>
      </w:r>
      <w:r>
        <w:t xml:space="preserve">ode of </w:t>
      </w:r>
      <w:r w:rsidR="005B157B">
        <w:t>c</w:t>
      </w:r>
      <w:r>
        <w:t xml:space="preserve">onduct </w:t>
      </w:r>
    </w:p>
    <w:p w14:paraId="45C75521" w14:textId="77777777" w:rsidR="00D478EB" w:rsidRDefault="00D478EB" w:rsidP="00D478EB">
      <w:pPr>
        <w:pStyle w:val="DHHSbody"/>
      </w:pPr>
      <w:r>
        <w:t xml:space="preserve">I agree </w:t>
      </w:r>
      <w:r w:rsidRPr="00D478EB">
        <w:t>to</w:t>
      </w:r>
      <w:r>
        <w:t>:</w:t>
      </w:r>
    </w:p>
    <w:p w14:paraId="7089EF65" w14:textId="66A9C4B1" w:rsidR="00D478EB" w:rsidRDefault="00D478EB" w:rsidP="00D478EB">
      <w:pPr>
        <w:pStyle w:val="DHHSbullet1"/>
      </w:pPr>
      <w:r>
        <w:t>attend Advocacy Group meetings and provide apologies in advance where attendance is not</w:t>
      </w:r>
      <w:r>
        <w:rPr>
          <w:spacing w:val="-15"/>
        </w:rPr>
        <w:t xml:space="preserve"> </w:t>
      </w:r>
      <w:r>
        <w:t>possible</w:t>
      </w:r>
    </w:p>
    <w:p w14:paraId="2341AECE" w14:textId="16E83E46" w:rsidR="00D478EB" w:rsidRDefault="00D478EB" w:rsidP="00D478EB">
      <w:pPr>
        <w:pStyle w:val="DHHSbullet1"/>
      </w:pPr>
      <w:r>
        <w:t>act in an advisory capacity by distributing authorised information within the community and provide insight and advice into community perspectives of access and</w:t>
      </w:r>
      <w:r>
        <w:rPr>
          <w:spacing w:val="-11"/>
        </w:rPr>
        <w:t xml:space="preserve"> </w:t>
      </w:r>
      <w:r>
        <w:t>inclusion</w:t>
      </w:r>
    </w:p>
    <w:p w14:paraId="70BFE9CD" w14:textId="3E41B0F8" w:rsidR="00D478EB" w:rsidRDefault="00D478EB" w:rsidP="00D478EB">
      <w:pPr>
        <w:pStyle w:val="DHHSbullet1"/>
      </w:pPr>
      <w:r>
        <w:t>seek at all times to obtain and represent the views of the broader</w:t>
      </w:r>
      <w:r>
        <w:rPr>
          <w:spacing w:val="-15"/>
        </w:rPr>
        <w:t xml:space="preserve"> </w:t>
      </w:r>
      <w:r>
        <w:t>community</w:t>
      </w:r>
    </w:p>
    <w:p w14:paraId="7FB5F983" w14:textId="792EE3DB" w:rsidR="00D478EB" w:rsidRDefault="00D478EB" w:rsidP="00D478EB">
      <w:pPr>
        <w:pStyle w:val="DHHSbullet1"/>
      </w:pPr>
      <w:r>
        <w:t>respect the ideas and beliefs of all members. Provide an atmosphere where all members feel comfortable to participate</w:t>
      </w:r>
    </w:p>
    <w:p w14:paraId="3187B39A" w14:textId="02DB9DCF" w:rsidR="00D478EB" w:rsidRDefault="00D478EB" w:rsidP="00D478EB">
      <w:pPr>
        <w:pStyle w:val="DHHSbullet1"/>
      </w:pPr>
      <w:r>
        <w:t>contribute in a positive way to finding solutions to issues or</w:t>
      </w:r>
      <w:r>
        <w:rPr>
          <w:spacing w:val="-11"/>
        </w:rPr>
        <w:t xml:space="preserve"> </w:t>
      </w:r>
      <w:r>
        <w:t>concerns</w:t>
      </w:r>
    </w:p>
    <w:p w14:paraId="6C88C6A6" w14:textId="00777BF9" w:rsidR="00D478EB" w:rsidRDefault="00D478EB" w:rsidP="00D478EB">
      <w:pPr>
        <w:pStyle w:val="DHHSbullet1"/>
      </w:pPr>
      <w:r>
        <w:t>act in good faith, with honesty and integrity and apply the skills and expertise I possess with diligence and care</w:t>
      </w:r>
    </w:p>
    <w:p w14:paraId="00303FF2" w14:textId="0BACD517" w:rsidR="00D478EB" w:rsidRDefault="00D478EB" w:rsidP="00D478EB">
      <w:pPr>
        <w:pStyle w:val="DHHSbullet1"/>
      </w:pPr>
      <w:r>
        <w:t>represent the views of my organisation, interest group or community, and not individual views at odds with my organisation or</w:t>
      </w:r>
      <w:r>
        <w:rPr>
          <w:spacing w:val="-5"/>
        </w:rPr>
        <w:t xml:space="preserve"> </w:t>
      </w:r>
      <w:r>
        <w:t>group</w:t>
      </w:r>
    </w:p>
    <w:p w14:paraId="074A109E" w14:textId="3279F4B0" w:rsidR="00D478EB" w:rsidRDefault="00D478EB" w:rsidP="00D478EB">
      <w:pPr>
        <w:pStyle w:val="DHHSbullet1"/>
      </w:pPr>
      <w:r>
        <w:t>notify the Chairperson of any potential conflict of interest that I identify with respect to my participation in the Advocacy</w:t>
      </w:r>
      <w:r>
        <w:rPr>
          <w:spacing w:val="-1"/>
        </w:rPr>
        <w:t xml:space="preserve"> </w:t>
      </w:r>
      <w:r>
        <w:t>Group</w:t>
      </w:r>
    </w:p>
    <w:p w14:paraId="3231CEDA" w14:textId="1E879CA7" w:rsidR="00D478EB" w:rsidRDefault="00D478EB" w:rsidP="00D478EB">
      <w:pPr>
        <w:pStyle w:val="DHHSbullet1"/>
      </w:pPr>
      <w:r>
        <w:t>not distribute confidential information that is discussed at the Advocacy Group meetings as advised by the Advocacy Group chair</w:t>
      </w:r>
    </w:p>
    <w:p w14:paraId="1D01D462" w14:textId="28BB0D53" w:rsidR="00D478EB" w:rsidRDefault="00D478EB" w:rsidP="005B157B">
      <w:pPr>
        <w:pStyle w:val="DHHSbullet1lastline"/>
      </w:pPr>
      <w:r>
        <w:t>not make any media comment on behalf of the Advocacy Group in relation to the project unless approved by the Advocacy Group</w:t>
      </w:r>
      <w:r>
        <w:rPr>
          <w:spacing w:val="-1"/>
        </w:rPr>
        <w:t xml:space="preserve"> </w:t>
      </w:r>
      <w:r>
        <w:t>Chairperson.</w:t>
      </w:r>
    </w:p>
    <w:p w14:paraId="2AFAE5EC" w14:textId="769025B5" w:rsidR="005B157B" w:rsidRDefault="005B157B" w:rsidP="005B157B">
      <w:pPr>
        <w:pStyle w:val="DHHSbullet1"/>
        <w:numPr>
          <w:ilvl w:val="0"/>
          <w:numId w:val="0"/>
        </w:numPr>
        <w:ind w:left="284" w:hanging="284"/>
      </w:pPr>
      <w:r>
        <w:t>Signed:</w:t>
      </w:r>
    </w:p>
    <w:p w14:paraId="13038FAF" w14:textId="7306AD8D" w:rsidR="005B157B" w:rsidRDefault="005B157B" w:rsidP="005B157B">
      <w:pPr>
        <w:pStyle w:val="DHHSbullet1"/>
        <w:numPr>
          <w:ilvl w:val="0"/>
          <w:numId w:val="0"/>
        </w:numPr>
        <w:ind w:left="284" w:hanging="284"/>
      </w:pPr>
      <w:r>
        <w:t xml:space="preserve">Name: </w:t>
      </w:r>
    </w:p>
    <w:p w14:paraId="623CEC09" w14:textId="34BC8140" w:rsidR="005B157B" w:rsidRDefault="005B157B" w:rsidP="005B157B">
      <w:pPr>
        <w:pStyle w:val="DHHSbullet1"/>
        <w:numPr>
          <w:ilvl w:val="0"/>
          <w:numId w:val="0"/>
        </w:numPr>
        <w:ind w:left="284" w:hanging="284"/>
      </w:pPr>
      <w:r>
        <w:t>Date:</w:t>
      </w:r>
    </w:p>
    <w:tbl>
      <w:tblPr>
        <w:tblpPr w:leftFromText="181" w:rightFromText="181" w:tblpYSpec="bottom"/>
        <w:tblOverlap w:val="never"/>
        <w:tblW w:w="4937" w:type="pct"/>
        <w:shd w:val="solid" w:color="DCC7DF" w:fill="auto"/>
        <w:tblCellMar>
          <w:top w:w="113" w:type="dxa"/>
          <w:bottom w:w="57" w:type="dxa"/>
        </w:tblCellMar>
        <w:tblLook w:val="00A0" w:firstRow="1" w:lastRow="0" w:firstColumn="1" w:lastColumn="0" w:noHBand="0" w:noVBand="0"/>
      </w:tblPr>
      <w:tblGrid>
        <w:gridCol w:w="10075"/>
      </w:tblGrid>
      <w:tr w:rsidR="008F0D36" w:rsidRPr="002802E3" w14:paraId="7405BFFB" w14:textId="77777777" w:rsidTr="00F93DCD">
        <w:trPr>
          <w:cantSplit/>
        </w:trPr>
        <w:tc>
          <w:tcPr>
            <w:tcW w:w="5000" w:type="pct"/>
            <w:shd w:val="clear" w:color="auto" w:fill="B4C6E7" w:themeFill="accent1" w:themeFillTint="66"/>
            <w:vAlign w:val="bottom"/>
          </w:tcPr>
          <w:p w14:paraId="3ADAB95C" w14:textId="44290B22" w:rsidR="008F0D36" w:rsidRPr="00254F58" w:rsidRDefault="008F0D36" w:rsidP="00F93DCD">
            <w:pPr>
              <w:pStyle w:val="DHHSbody"/>
            </w:pPr>
            <w:r>
              <w:t xml:space="preserve">This sample resource has been provided with the support </w:t>
            </w:r>
            <w:r w:rsidR="00F93DCD">
              <w:t xml:space="preserve">and permission </w:t>
            </w:r>
            <w:r w:rsidR="00C745F8">
              <w:t>of</w:t>
            </w:r>
            <w:r w:rsidR="00CD0F3F">
              <w:t xml:space="preserve"> </w:t>
            </w:r>
            <w:r w:rsidR="003F71D4">
              <w:t>the Positive Ageing Advocacy Group</w:t>
            </w:r>
            <w:r w:rsidRPr="00576075">
              <w:rPr>
                <w:color w:val="000000" w:themeColor="text1"/>
              </w:rPr>
              <w:t>.</w:t>
            </w:r>
          </w:p>
        </w:tc>
      </w:tr>
      <w:tr w:rsidR="00F93DCD" w:rsidRPr="002802E3" w14:paraId="32E319CE" w14:textId="77777777" w:rsidTr="00F93DCD">
        <w:trPr>
          <w:cantSplit/>
        </w:trPr>
        <w:tc>
          <w:tcPr>
            <w:tcW w:w="5000" w:type="pct"/>
            <w:shd w:val="clear" w:color="auto" w:fill="FFFFFF" w:themeFill="background1"/>
            <w:vAlign w:val="bottom"/>
          </w:tcPr>
          <w:p w14:paraId="51A1450E" w14:textId="77777777" w:rsidR="00F93DCD" w:rsidRDefault="00F93DCD" w:rsidP="00F93DCD">
            <w:pPr>
              <w:pStyle w:val="DHHSbody"/>
            </w:pPr>
          </w:p>
        </w:tc>
      </w:tr>
      <w:tr w:rsidR="008F0D36" w:rsidRPr="002802E3" w14:paraId="774C51BF" w14:textId="77777777" w:rsidTr="00F93DCD">
        <w:trPr>
          <w:cantSplit/>
        </w:trPr>
        <w:tc>
          <w:tcPr>
            <w:tcW w:w="5000" w:type="pct"/>
            <w:shd w:val="clear" w:color="auto" w:fill="D9E2F3" w:themeFill="accent1" w:themeFillTint="33"/>
            <w:vAlign w:val="bottom"/>
          </w:tcPr>
          <w:p w14:paraId="1BA2FDEA" w14:textId="77777777" w:rsidR="008F0D36" w:rsidRPr="00254F58" w:rsidRDefault="008F0D36" w:rsidP="00F93DCD">
            <w:pPr>
              <w:pStyle w:val="DHHSaccessibilitypara"/>
            </w:pPr>
            <w:r w:rsidRPr="00254F58">
              <w:t xml:space="preserve">To receive this publication in </w:t>
            </w:r>
            <w:r w:rsidRPr="00770F37">
              <w:t>an</w:t>
            </w:r>
            <w:r w:rsidRPr="00254F58">
              <w:t xml:space="preserve"> accessible format phone</w:t>
            </w:r>
            <w:r>
              <w:t xml:space="preserve"> 9096 7730,</w:t>
            </w:r>
            <w:r w:rsidRPr="00254F58">
              <w:t xml:space="preserve"> using the National Relay Service 13 36 77 if required, or email </w:t>
            </w:r>
            <w:hyperlink r:id="rId14" w:history="1">
              <w:r w:rsidRPr="00E24976">
                <w:rPr>
                  <w:rStyle w:val="Hyperlink"/>
                </w:rPr>
                <w:t>Seniors Projects</w:t>
              </w:r>
            </w:hyperlink>
            <w:r>
              <w:t xml:space="preserve"> &lt;seniorsprojects@dhhs.vic.gov.au&gt;.</w:t>
            </w:r>
          </w:p>
          <w:p w14:paraId="56F3CC0E" w14:textId="0F215EDE" w:rsidR="008F0D36" w:rsidRDefault="008F0D36" w:rsidP="00F93DCD">
            <w:pPr>
              <w:pStyle w:val="DHHSbody"/>
            </w:pPr>
            <w:r w:rsidRPr="00254F58">
              <w:t>Authorised and published by the Victorian Governmen</w:t>
            </w:r>
            <w:r>
              <w:t>t, 1 Treasury Place, Melbourne.</w:t>
            </w:r>
          </w:p>
          <w:p w14:paraId="1DF912A0" w14:textId="2619242E" w:rsidR="008F0D36" w:rsidRPr="000A6ACF" w:rsidRDefault="008F0D36" w:rsidP="00F93DCD">
            <w:pPr>
              <w:pStyle w:val="DHHSbody"/>
              <w:rPr>
                <w:szCs w:val="19"/>
              </w:rPr>
            </w:pPr>
            <w:r w:rsidRPr="00254F58">
              <w:rPr>
                <w:szCs w:val="19"/>
              </w:rPr>
              <w:t xml:space="preserve">Available at </w:t>
            </w:r>
            <w:r w:rsidRPr="000D1654">
              <w:t>&lt;www.seniorsonline.vic.gov.au/toolbox&gt;</w:t>
            </w:r>
          </w:p>
        </w:tc>
      </w:tr>
    </w:tbl>
    <w:p w14:paraId="6BCBF71A" w14:textId="77777777" w:rsidR="00B2752E" w:rsidRPr="00906490" w:rsidRDefault="00B2752E" w:rsidP="002E1A9A">
      <w:pPr>
        <w:pStyle w:val="DHHSTOCheadingfactsheet"/>
      </w:pPr>
    </w:p>
    <w:sectPr w:rsidR="00B2752E" w:rsidRPr="00906490"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72A3B" w14:textId="77777777" w:rsidR="005E4EB7" w:rsidRDefault="005E4EB7">
      <w:r>
        <w:separator/>
      </w:r>
    </w:p>
  </w:endnote>
  <w:endnote w:type="continuationSeparator" w:id="0">
    <w:p w14:paraId="069537BB" w14:textId="77777777" w:rsidR="005E4EB7" w:rsidRDefault="005E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BBE77" w14:textId="77777777" w:rsidR="006E1E7A" w:rsidRDefault="006E1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166C" w14:textId="148B7D61" w:rsidR="007D7FDE" w:rsidRPr="00F65AA9" w:rsidRDefault="006E1E7A" w:rsidP="0051568D">
    <w:pPr>
      <w:pStyle w:val="DHHSfooter"/>
    </w:pPr>
    <w:r>
      <w:rPr>
        <w:noProof/>
      </w:rPr>
      <w:drawing>
        <wp:inline distT="0" distB="0" distL="0" distR="0" wp14:anchorId="46559EE5" wp14:editId="5DBD9AEB">
          <wp:extent cx="1736874" cy="58647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lemaine_logo.jpg"/>
                  <pic:cNvPicPr/>
                </pic:nvPicPr>
                <pic:blipFill>
                  <a:blip r:embed="rId1"/>
                  <a:stretch>
                    <a:fillRect/>
                  </a:stretch>
                </pic:blipFill>
                <pic:spPr>
                  <a:xfrm>
                    <a:off x="0" y="0"/>
                    <a:ext cx="1748360" cy="590355"/>
                  </a:xfrm>
                  <a:prstGeom prst="rect">
                    <a:avLst/>
                  </a:prstGeom>
                </pic:spPr>
              </pic:pic>
            </a:graphicData>
          </a:graphic>
        </wp:inline>
      </w:drawing>
    </w:r>
    <w:r w:rsidR="007D7FDE">
      <w:rPr>
        <w:noProof/>
      </w:rPr>
      <w:drawing>
        <wp:anchor distT="0" distB="0" distL="114300" distR="114300" simplePos="0" relativeHeight="251657728" behindDoc="1" locked="1" layoutInCell="0" allowOverlap="1" wp14:anchorId="520AEA7E" wp14:editId="52EA8C65">
          <wp:simplePos x="0" y="0"/>
          <wp:positionH relativeFrom="page">
            <wp:posOffset>0</wp:posOffset>
          </wp:positionH>
          <wp:positionV relativeFrom="page">
            <wp:posOffset>9906000</wp:posOffset>
          </wp:positionV>
          <wp:extent cx="7560000" cy="792000"/>
          <wp:effectExtent l="0" t="0" r="0" b="0"/>
          <wp:wrapNone/>
          <wp:docPr id="14" name="Picture 14" descr="Victoria State Government Department of Health and Human Servi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92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B957" w14:textId="77777777" w:rsidR="006E1E7A" w:rsidRDefault="006E1E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208CB" w14:textId="34980C4B" w:rsidR="007D7FDE" w:rsidRPr="00A11421" w:rsidRDefault="00D478EB" w:rsidP="0051568D">
    <w:pPr>
      <w:pStyle w:val="DHHSfooter"/>
    </w:pPr>
    <w:r>
      <w:t>Positive Ageing Advocacy Group terms of reference</w:t>
    </w:r>
    <w:r w:rsidR="007D7FDE" w:rsidRPr="002E1A9A">
      <w:t xml:space="preserve">: </w:t>
    </w:r>
    <w:r w:rsidR="007D7FDE">
      <w:t>sample resource</w:t>
    </w:r>
    <w:r w:rsidR="007D7FDE" w:rsidRPr="00A11421">
      <w:tab/>
    </w:r>
    <w:r w:rsidR="007D7FDE" w:rsidRPr="00A11421">
      <w:fldChar w:fldCharType="begin"/>
    </w:r>
    <w:r w:rsidR="007D7FDE" w:rsidRPr="00A11421">
      <w:instrText xml:space="preserve"> PAGE </w:instrText>
    </w:r>
    <w:r w:rsidR="007D7FDE" w:rsidRPr="00A11421">
      <w:fldChar w:fldCharType="separate"/>
    </w:r>
    <w:r w:rsidR="007D7FDE">
      <w:rPr>
        <w:noProof/>
      </w:rPr>
      <w:t>2</w:t>
    </w:r>
    <w:r w:rsidR="007D7FDE"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845AA" w14:textId="77777777" w:rsidR="005E4EB7" w:rsidRDefault="005E4EB7" w:rsidP="002862F1">
      <w:pPr>
        <w:spacing w:before="120"/>
      </w:pPr>
      <w:r>
        <w:separator/>
      </w:r>
    </w:p>
  </w:footnote>
  <w:footnote w:type="continuationSeparator" w:id="0">
    <w:p w14:paraId="493E2397" w14:textId="77777777" w:rsidR="005E4EB7" w:rsidRDefault="005E4EB7">
      <w:r>
        <w:continuationSeparator/>
      </w:r>
    </w:p>
  </w:footnote>
  <w:footnote w:id="1">
    <w:p w14:paraId="5582898F" w14:textId="71CB168F" w:rsidR="00D478EB" w:rsidRPr="00D478EB" w:rsidRDefault="00D478EB" w:rsidP="00D478EB">
      <w:pPr>
        <w:pStyle w:val="DHHSfooter"/>
        <w:rPr>
          <w:lang w:val="mi-NZ"/>
        </w:rPr>
      </w:pPr>
      <w:r>
        <w:rPr>
          <w:rStyle w:val="FootnoteReference"/>
        </w:rPr>
        <w:footnoteRef/>
      </w:r>
      <w:r>
        <w:t xml:space="preserve"> Identified in </w:t>
      </w:r>
      <w:r w:rsidRPr="00D478EB">
        <w:rPr>
          <w:i/>
        </w:rPr>
        <w:t>Global age friendly cities: a guide</w:t>
      </w:r>
      <w:r>
        <w:t xml:space="preserve"> produced by the World Health Organi</w:t>
      </w:r>
      <w:r w:rsidR="003F71D4">
        <w:t>z</w:t>
      </w:r>
      <w:r>
        <w: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C466" w14:textId="77777777" w:rsidR="006E1E7A" w:rsidRDefault="006E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D52B" w14:textId="77777777" w:rsidR="006E1E7A" w:rsidRDefault="006E1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02B3C" w14:textId="77777777" w:rsidR="006E1E7A" w:rsidRDefault="006E1E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C1468" w14:textId="77777777" w:rsidR="007D7FDE" w:rsidRPr="0051568D" w:rsidRDefault="007D7FDE"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20" w:hanging="721"/>
      </w:pPr>
      <w:rPr>
        <w:rFonts w:ascii="Calibri" w:hAnsi="Calibri" w:cs="Calibri"/>
        <w:b w:val="0"/>
        <w:bCs w:val="0"/>
        <w:w w:val="100"/>
        <w:sz w:val="22"/>
        <w:szCs w:val="22"/>
      </w:rPr>
    </w:lvl>
    <w:lvl w:ilvl="1">
      <w:numFmt w:val="bullet"/>
      <w:lvlText w:val="ï"/>
      <w:lvlJc w:val="left"/>
      <w:pPr>
        <w:ind w:left="1768" w:hanging="721"/>
      </w:pPr>
    </w:lvl>
    <w:lvl w:ilvl="2">
      <w:numFmt w:val="bullet"/>
      <w:lvlText w:val="ï"/>
      <w:lvlJc w:val="left"/>
      <w:pPr>
        <w:ind w:left="2716" w:hanging="721"/>
      </w:pPr>
    </w:lvl>
    <w:lvl w:ilvl="3">
      <w:numFmt w:val="bullet"/>
      <w:lvlText w:val="ï"/>
      <w:lvlJc w:val="left"/>
      <w:pPr>
        <w:ind w:left="3664" w:hanging="721"/>
      </w:pPr>
    </w:lvl>
    <w:lvl w:ilvl="4">
      <w:numFmt w:val="bullet"/>
      <w:lvlText w:val="ï"/>
      <w:lvlJc w:val="left"/>
      <w:pPr>
        <w:ind w:left="4612" w:hanging="721"/>
      </w:pPr>
    </w:lvl>
    <w:lvl w:ilvl="5">
      <w:numFmt w:val="bullet"/>
      <w:lvlText w:val="ï"/>
      <w:lvlJc w:val="left"/>
      <w:pPr>
        <w:ind w:left="5560" w:hanging="721"/>
      </w:pPr>
    </w:lvl>
    <w:lvl w:ilvl="6">
      <w:numFmt w:val="bullet"/>
      <w:lvlText w:val="ï"/>
      <w:lvlJc w:val="left"/>
      <w:pPr>
        <w:ind w:left="6508" w:hanging="721"/>
      </w:pPr>
    </w:lvl>
    <w:lvl w:ilvl="7">
      <w:numFmt w:val="bullet"/>
      <w:lvlText w:val="ï"/>
      <w:lvlJc w:val="left"/>
      <w:pPr>
        <w:ind w:left="7456" w:hanging="721"/>
      </w:pPr>
    </w:lvl>
    <w:lvl w:ilvl="8">
      <w:numFmt w:val="bullet"/>
      <w:lvlText w:val="ï"/>
      <w:lvlJc w:val="left"/>
      <w:pPr>
        <w:ind w:left="8404" w:hanging="721"/>
      </w:pPr>
    </w:lvl>
  </w:abstractNum>
  <w:abstractNum w:abstractNumId="1" w15:restartNumberingAfterBreak="0">
    <w:nsid w:val="00000403"/>
    <w:multiLevelType w:val="multilevel"/>
    <w:tmpl w:val="00000886"/>
    <w:lvl w:ilvl="0">
      <w:numFmt w:val="bullet"/>
      <w:lvlText w:val="-"/>
      <w:lvlJc w:val="left"/>
      <w:pPr>
        <w:ind w:left="100" w:hanging="118"/>
      </w:pPr>
      <w:rPr>
        <w:rFonts w:ascii="Calibri" w:hAnsi="Calibri" w:cs="Calibri"/>
        <w:b w:val="0"/>
        <w:bCs w:val="0"/>
        <w:w w:val="100"/>
        <w:sz w:val="22"/>
        <w:szCs w:val="22"/>
      </w:rPr>
    </w:lvl>
    <w:lvl w:ilvl="1">
      <w:numFmt w:val="bullet"/>
      <w:lvlText w:val="ï"/>
      <w:lvlJc w:val="left"/>
      <w:pPr>
        <w:ind w:left="1120" w:hanging="118"/>
      </w:pPr>
    </w:lvl>
    <w:lvl w:ilvl="2">
      <w:numFmt w:val="bullet"/>
      <w:lvlText w:val="ï"/>
      <w:lvlJc w:val="left"/>
      <w:pPr>
        <w:ind w:left="2140" w:hanging="118"/>
      </w:pPr>
    </w:lvl>
    <w:lvl w:ilvl="3">
      <w:numFmt w:val="bullet"/>
      <w:lvlText w:val="ï"/>
      <w:lvlJc w:val="left"/>
      <w:pPr>
        <w:ind w:left="3160" w:hanging="118"/>
      </w:pPr>
    </w:lvl>
    <w:lvl w:ilvl="4">
      <w:numFmt w:val="bullet"/>
      <w:lvlText w:val="ï"/>
      <w:lvlJc w:val="left"/>
      <w:pPr>
        <w:ind w:left="4180" w:hanging="118"/>
      </w:pPr>
    </w:lvl>
    <w:lvl w:ilvl="5">
      <w:numFmt w:val="bullet"/>
      <w:lvlText w:val="ï"/>
      <w:lvlJc w:val="left"/>
      <w:pPr>
        <w:ind w:left="5200" w:hanging="118"/>
      </w:pPr>
    </w:lvl>
    <w:lvl w:ilvl="6">
      <w:numFmt w:val="bullet"/>
      <w:lvlText w:val="ï"/>
      <w:lvlJc w:val="left"/>
      <w:pPr>
        <w:ind w:left="6220" w:hanging="118"/>
      </w:pPr>
    </w:lvl>
    <w:lvl w:ilvl="7">
      <w:numFmt w:val="bullet"/>
      <w:lvlText w:val="ï"/>
      <w:lvlJc w:val="left"/>
      <w:pPr>
        <w:ind w:left="7240" w:hanging="118"/>
      </w:pPr>
    </w:lvl>
    <w:lvl w:ilvl="8">
      <w:numFmt w:val="bullet"/>
      <w:lvlText w:val="ï"/>
      <w:lvlJc w:val="left"/>
      <w:pPr>
        <w:ind w:left="8260" w:hanging="118"/>
      </w:pPr>
    </w:lvl>
  </w:abstractNum>
  <w:abstractNum w:abstractNumId="2" w15:restartNumberingAfterBreak="0">
    <w:nsid w:val="00000404"/>
    <w:multiLevelType w:val="multilevel"/>
    <w:tmpl w:val="00000887"/>
    <w:lvl w:ilvl="0">
      <w:numFmt w:val="bullet"/>
      <w:lvlText w:val=""/>
      <w:lvlJc w:val="left"/>
      <w:pPr>
        <w:ind w:left="460" w:hanging="361"/>
      </w:pPr>
      <w:rPr>
        <w:rFonts w:ascii="Symbol" w:hAnsi="Symbol" w:cs="Symbol"/>
        <w:b w:val="0"/>
        <w:bCs w:val="0"/>
        <w:w w:val="76"/>
        <w:sz w:val="22"/>
        <w:szCs w:val="22"/>
      </w:rPr>
    </w:lvl>
    <w:lvl w:ilvl="1">
      <w:numFmt w:val="bullet"/>
      <w:lvlText w:val="ï"/>
      <w:lvlJc w:val="left"/>
      <w:pPr>
        <w:ind w:left="1444" w:hanging="361"/>
      </w:pPr>
    </w:lvl>
    <w:lvl w:ilvl="2">
      <w:numFmt w:val="bullet"/>
      <w:lvlText w:val="ï"/>
      <w:lvlJc w:val="left"/>
      <w:pPr>
        <w:ind w:left="2428" w:hanging="361"/>
      </w:pPr>
    </w:lvl>
    <w:lvl w:ilvl="3">
      <w:numFmt w:val="bullet"/>
      <w:lvlText w:val="ï"/>
      <w:lvlJc w:val="left"/>
      <w:pPr>
        <w:ind w:left="3412" w:hanging="361"/>
      </w:pPr>
    </w:lvl>
    <w:lvl w:ilvl="4">
      <w:numFmt w:val="bullet"/>
      <w:lvlText w:val="ï"/>
      <w:lvlJc w:val="left"/>
      <w:pPr>
        <w:ind w:left="4396" w:hanging="361"/>
      </w:pPr>
    </w:lvl>
    <w:lvl w:ilvl="5">
      <w:numFmt w:val="bullet"/>
      <w:lvlText w:val="ï"/>
      <w:lvlJc w:val="left"/>
      <w:pPr>
        <w:ind w:left="5380" w:hanging="361"/>
      </w:pPr>
    </w:lvl>
    <w:lvl w:ilvl="6">
      <w:numFmt w:val="bullet"/>
      <w:lvlText w:val="ï"/>
      <w:lvlJc w:val="left"/>
      <w:pPr>
        <w:ind w:left="6364" w:hanging="361"/>
      </w:pPr>
    </w:lvl>
    <w:lvl w:ilvl="7">
      <w:numFmt w:val="bullet"/>
      <w:lvlText w:val="ï"/>
      <w:lvlJc w:val="left"/>
      <w:pPr>
        <w:ind w:left="7348" w:hanging="361"/>
      </w:pPr>
    </w:lvl>
    <w:lvl w:ilvl="8">
      <w:numFmt w:val="bullet"/>
      <w:lvlText w:val="ï"/>
      <w:lvlJc w:val="left"/>
      <w:pPr>
        <w:ind w:left="8332" w:hanging="361"/>
      </w:pPr>
    </w:lvl>
  </w:abstractNum>
  <w:abstractNum w:abstractNumId="3"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2816B2A"/>
    <w:multiLevelType w:val="hybridMultilevel"/>
    <w:tmpl w:val="0D8040D8"/>
    <w:lvl w:ilvl="0" w:tplc="F2928552">
      <w:start w:val="1"/>
      <w:numFmt w:val="decimal"/>
      <w:pStyle w:val="Dotpoin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11"/>
    <w:rsid w:val="000072B6"/>
    <w:rsid w:val="0001021B"/>
    <w:rsid w:val="00011D89"/>
    <w:rsid w:val="0001556F"/>
    <w:rsid w:val="00024D89"/>
    <w:rsid w:val="000250B6"/>
    <w:rsid w:val="00033D81"/>
    <w:rsid w:val="000362DC"/>
    <w:rsid w:val="00036F28"/>
    <w:rsid w:val="00041BF0"/>
    <w:rsid w:val="0004536B"/>
    <w:rsid w:val="00046B68"/>
    <w:rsid w:val="000527DD"/>
    <w:rsid w:val="000578B2"/>
    <w:rsid w:val="00057CDF"/>
    <w:rsid w:val="00060959"/>
    <w:rsid w:val="000663CD"/>
    <w:rsid w:val="000733FE"/>
    <w:rsid w:val="00074219"/>
    <w:rsid w:val="00074ED5"/>
    <w:rsid w:val="0008148C"/>
    <w:rsid w:val="00084D6C"/>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0F5B4E"/>
    <w:rsid w:val="0010392D"/>
    <w:rsid w:val="0010447F"/>
    <w:rsid w:val="00104FE3"/>
    <w:rsid w:val="00120BD3"/>
    <w:rsid w:val="00122FEA"/>
    <w:rsid w:val="001232BD"/>
    <w:rsid w:val="00124ED5"/>
    <w:rsid w:val="001447B3"/>
    <w:rsid w:val="001473C3"/>
    <w:rsid w:val="00152073"/>
    <w:rsid w:val="001561DA"/>
    <w:rsid w:val="00161939"/>
    <w:rsid w:val="00161AA0"/>
    <w:rsid w:val="00162093"/>
    <w:rsid w:val="00162407"/>
    <w:rsid w:val="001730B9"/>
    <w:rsid w:val="001771DD"/>
    <w:rsid w:val="00177995"/>
    <w:rsid w:val="00177A8C"/>
    <w:rsid w:val="00177E25"/>
    <w:rsid w:val="00182190"/>
    <w:rsid w:val="00186B33"/>
    <w:rsid w:val="00192F9D"/>
    <w:rsid w:val="00196EB8"/>
    <w:rsid w:val="00196EFB"/>
    <w:rsid w:val="001979FF"/>
    <w:rsid w:val="00197B17"/>
    <w:rsid w:val="001A3ACE"/>
    <w:rsid w:val="001C277E"/>
    <w:rsid w:val="001C2A72"/>
    <w:rsid w:val="001D0B75"/>
    <w:rsid w:val="001D3C09"/>
    <w:rsid w:val="001D44E8"/>
    <w:rsid w:val="001D60EC"/>
    <w:rsid w:val="001D7738"/>
    <w:rsid w:val="001E44DF"/>
    <w:rsid w:val="001E68A5"/>
    <w:rsid w:val="001E6BB0"/>
    <w:rsid w:val="001F3826"/>
    <w:rsid w:val="001F6E46"/>
    <w:rsid w:val="001F7C91"/>
    <w:rsid w:val="00206463"/>
    <w:rsid w:val="00206F2F"/>
    <w:rsid w:val="0021053D"/>
    <w:rsid w:val="00210A92"/>
    <w:rsid w:val="00216C03"/>
    <w:rsid w:val="00220C04"/>
    <w:rsid w:val="0022278D"/>
    <w:rsid w:val="00223DDB"/>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773BF"/>
    <w:rsid w:val="002802E3"/>
    <w:rsid w:val="0028213D"/>
    <w:rsid w:val="002862F1"/>
    <w:rsid w:val="00291373"/>
    <w:rsid w:val="0029597D"/>
    <w:rsid w:val="002962C3"/>
    <w:rsid w:val="0029752B"/>
    <w:rsid w:val="002A483C"/>
    <w:rsid w:val="002B1729"/>
    <w:rsid w:val="002B36C7"/>
    <w:rsid w:val="002B4DD4"/>
    <w:rsid w:val="002B5277"/>
    <w:rsid w:val="002B5375"/>
    <w:rsid w:val="002B7346"/>
    <w:rsid w:val="002B77C1"/>
    <w:rsid w:val="002C2652"/>
    <w:rsid w:val="002C2728"/>
    <w:rsid w:val="002D5006"/>
    <w:rsid w:val="002E01D0"/>
    <w:rsid w:val="002E161D"/>
    <w:rsid w:val="002E1A9A"/>
    <w:rsid w:val="002E3100"/>
    <w:rsid w:val="002E6C95"/>
    <w:rsid w:val="002E7C36"/>
    <w:rsid w:val="002F5F31"/>
    <w:rsid w:val="002F5F46"/>
    <w:rsid w:val="00302216"/>
    <w:rsid w:val="00303E53"/>
    <w:rsid w:val="00306E5F"/>
    <w:rsid w:val="00307E14"/>
    <w:rsid w:val="00314054"/>
    <w:rsid w:val="00316F27"/>
    <w:rsid w:val="00327870"/>
    <w:rsid w:val="00330719"/>
    <w:rsid w:val="0033259D"/>
    <w:rsid w:val="0033316D"/>
    <w:rsid w:val="003406C6"/>
    <w:rsid w:val="003418CC"/>
    <w:rsid w:val="003459BD"/>
    <w:rsid w:val="00350D38"/>
    <w:rsid w:val="00351B36"/>
    <w:rsid w:val="00357B4E"/>
    <w:rsid w:val="003611FB"/>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3F71D4"/>
    <w:rsid w:val="00401FCF"/>
    <w:rsid w:val="00406285"/>
    <w:rsid w:val="004148F9"/>
    <w:rsid w:val="0042084E"/>
    <w:rsid w:val="00421C92"/>
    <w:rsid w:val="00421EEF"/>
    <w:rsid w:val="00424D65"/>
    <w:rsid w:val="00426C7F"/>
    <w:rsid w:val="00442C6C"/>
    <w:rsid w:val="00443CBE"/>
    <w:rsid w:val="00443E8A"/>
    <w:rsid w:val="004441BC"/>
    <w:rsid w:val="004468B4"/>
    <w:rsid w:val="0045230A"/>
    <w:rsid w:val="00457337"/>
    <w:rsid w:val="0047093D"/>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176B"/>
    <w:rsid w:val="004C6EEE"/>
    <w:rsid w:val="004C702B"/>
    <w:rsid w:val="004D016B"/>
    <w:rsid w:val="004D1B22"/>
    <w:rsid w:val="004D36F2"/>
    <w:rsid w:val="004D6A5E"/>
    <w:rsid w:val="004E0650"/>
    <w:rsid w:val="004E138F"/>
    <w:rsid w:val="004E4649"/>
    <w:rsid w:val="004E5C2B"/>
    <w:rsid w:val="004F00DD"/>
    <w:rsid w:val="004F2133"/>
    <w:rsid w:val="004F55F1"/>
    <w:rsid w:val="004F6936"/>
    <w:rsid w:val="00503DC6"/>
    <w:rsid w:val="00506F5D"/>
    <w:rsid w:val="005126D0"/>
    <w:rsid w:val="0051568D"/>
    <w:rsid w:val="00523D0B"/>
    <w:rsid w:val="00526C15"/>
    <w:rsid w:val="0053513C"/>
    <w:rsid w:val="00536499"/>
    <w:rsid w:val="00543903"/>
    <w:rsid w:val="00543D3B"/>
    <w:rsid w:val="00543F11"/>
    <w:rsid w:val="00547A95"/>
    <w:rsid w:val="00572031"/>
    <w:rsid w:val="00576075"/>
    <w:rsid w:val="00576E84"/>
    <w:rsid w:val="00582B8C"/>
    <w:rsid w:val="0058757E"/>
    <w:rsid w:val="00593676"/>
    <w:rsid w:val="00596A4B"/>
    <w:rsid w:val="00597507"/>
    <w:rsid w:val="005B157B"/>
    <w:rsid w:val="005B21B6"/>
    <w:rsid w:val="005B3A08"/>
    <w:rsid w:val="005B7A63"/>
    <w:rsid w:val="005C0955"/>
    <w:rsid w:val="005C49DA"/>
    <w:rsid w:val="005C50F3"/>
    <w:rsid w:val="005C5D91"/>
    <w:rsid w:val="005D07B8"/>
    <w:rsid w:val="005D6597"/>
    <w:rsid w:val="005E14E7"/>
    <w:rsid w:val="005E26A3"/>
    <w:rsid w:val="005E38AF"/>
    <w:rsid w:val="005E447E"/>
    <w:rsid w:val="005E4EB7"/>
    <w:rsid w:val="005F0775"/>
    <w:rsid w:val="005F0CF5"/>
    <w:rsid w:val="005F21EB"/>
    <w:rsid w:val="00605908"/>
    <w:rsid w:val="00610D7C"/>
    <w:rsid w:val="00613414"/>
    <w:rsid w:val="0062408D"/>
    <w:rsid w:val="006240C9"/>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5984"/>
    <w:rsid w:val="00677574"/>
    <w:rsid w:val="0068454C"/>
    <w:rsid w:val="00691B62"/>
    <w:rsid w:val="006933B5"/>
    <w:rsid w:val="00693D14"/>
    <w:rsid w:val="006A18C2"/>
    <w:rsid w:val="006B077C"/>
    <w:rsid w:val="006B566E"/>
    <w:rsid w:val="006B6803"/>
    <w:rsid w:val="006B780C"/>
    <w:rsid w:val="006D2A3F"/>
    <w:rsid w:val="006D2FBC"/>
    <w:rsid w:val="006E138B"/>
    <w:rsid w:val="006E1E7A"/>
    <w:rsid w:val="006E2E5D"/>
    <w:rsid w:val="006F1FDC"/>
    <w:rsid w:val="007013EF"/>
    <w:rsid w:val="00716B0D"/>
    <w:rsid w:val="007173CA"/>
    <w:rsid w:val="007216AA"/>
    <w:rsid w:val="00721AB5"/>
    <w:rsid w:val="00721DEF"/>
    <w:rsid w:val="00723CB2"/>
    <w:rsid w:val="00724A43"/>
    <w:rsid w:val="007346E4"/>
    <w:rsid w:val="00737478"/>
    <w:rsid w:val="00740F22"/>
    <w:rsid w:val="00741F1A"/>
    <w:rsid w:val="007450F8"/>
    <w:rsid w:val="0074696E"/>
    <w:rsid w:val="00750135"/>
    <w:rsid w:val="007506D0"/>
    <w:rsid w:val="00750EC2"/>
    <w:rsid w:val="00752B28"/>
    <w:rsid w:val="00753939"/>
    <w:rsid w:val="00754E36"/>
    <w:rsid w:val="00763139"/>
    <w:rsid w:val="00770F37"/>
    <w:rsid w:val="007711A0"/>
    <w:rsid w:val="00772D5E"/>
    <w:rsid w:val="00773B90"/>
    <w:rsid w:val="00776928"/>
    <w:rsid w:val="00785677"/>
    <w:rsid w:val="00786F16"/>
    <w:rsid w:val="00794068"/>
    <w:rsid w:val="00796E20"/>
    <w:rsid w:val="00797C32"/>
    <w:rsid w:val="007B0914"/>
    <w:rsid w:val="007B1374"/>
    <w:rsid w:val="007B28A1"/>
    <w:rsid w:val="007B589F"/>
    <w:rsid w:val="007B6186"/>
    <w:rsid w:val="007B6AFB"/>
    <w:rsid w:val="007B73BC"/>
    <w:rsid w:val="007C20B9"/>
    <w:rsid w:val="007C7301"/>
    <w:rsid w:val="007C7859"/>
    <w:rsid w:val="007D2BDE"/>
    <w:rsid w:val="007D2FB6"/>
    <w:rsid w:val="007D6E2D"/>
    <w:rsid w:val="007D7FDE"/>
    <w:rsid w:val="007E0DE2"/>
    <w:rsid w:val="007E3B98"/>
    <w:rsid w:val="007F31B6"/>
    <w:rsid w:val="007F546C"/>
    <w:rsid w:val="007F625F"/>
    <w:rsid w:val="007F665E"/>
    <w:rsid w:val="00800412"/>
    <w:rsid w:val="0080587B"/>
    <w:rsid w:val="00806468"/>
    <w:rsid w:val="00814CB1"/>
    <w:rsid w:val="008155F0"/>
    <w:rsid w:val="00816735"/>
    <w:rsid w:val="00820141"/>
    <w:rsid w:val="00820E0C"/>
    <w:rsid w:val="008338A2"/>
    <w:rsid w:val="00841AA9"/>
    <w:rsid w:val="00853EE4"/>
    <w:rsid w:val="00855535"/>
    <w:rsid w:val="0086255E"/>
    <w:rsid w:val="008633F0"/>
    <w:rsid w:val="00867D9D"/>
    <w:rsid w:val="00872E0A"/>
    <w:rsid w:val="00875285"/>
    <w:rsid w:val="00881511"/>
    <w:rsid w:val="0088406A"/>
    <w:rsid w:val="00884B62"/>
    <w:rsid w:val="0088529C"/>
    <w:rsid w:val="00887903"/>
    <w:rsid w:val="0089270A"/>
    <w:rsid w:val="00893AF6"/>
    <w:rsid w:val="00894BC4"/>
    <w:rsid w:val="008A4FB3"/>
    <w:rsid w:val="008A5B32"/>
    <w:rsid w:val="008B2EE4"/>
    <w:rsid w:val="008B4D3D"/>
    <w:rsid w:val="008B57C7"/>
    <w:rsid w:val="008B6D4D"/>
    <w:rsid w:val="008C2F92"/>
    <w:rsid w:val="008D2846"/>
    <w:rsid w:val="008D4236"/>
    <w:rsid w:val="008D462F"/>
    <w:rsid w:val="008D6DCF"/>
    <w:rsid w:val="008E4376"/>
    <w:rsid w:val="008E7A0A"/>
    <w:rsid w:val="008F0D36"/>
    <w:rsid w:val="00900719"/>
    <w:rsid w:val="009017AC"/>
    <w:rsid w:val="00904A1C"/>
    <w:rsid w:val="00905030"/>
    <w:rsid w:val="00906490"/>
    <w:rsid w:val="009111B2"/>
    <w:rsid w:val="00924AE1"/>
    <w:rsid w:val="009269B1"/>
    <w:rsid w:val="0092724D"/>
    <w:rsid w:val="00937BD9"/>
    <w:rsid w:val="00941A9A"/>
    <w:rsid w:val="00950E2C"/>
    <w:rsid w:val="00951D50"/>
    <w:rsid w:val="009525EB"/>
    <w:rsid w:val="00954874"/>
    <w:rsid w:val="00961400"/>
    <w:rsid w:val="00963646"/>
    <w:rsid w:val="0096685E"/>
    <w:rsid w:val="009853E1"/>
    <w:rsid w:val="00986E6B"/>
    <w:rsid w:val="00991769"/>
    <w:rsid w:val="00994386"/>
    <w:rsid w:val="00994531"/>
    <w:rsid w:val="009A13D8"/>
    <w:rsid w:val="009A279E"/>
    <w:rsid w:val="009B0A6F"/>
    <w:rsid w:val="009B0A94"/>
    <w:rsid w:val="009B59E9"/>
    <w:rsid w:val="009B70AA"/>
    <w:rsid w:val="009B7EB9"/>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1A89"/>
    <w:rsid w:val="00A157B1"/>
    <w:rsid w:val="00A17051"/>
    <w:rsid w:val="00A22229"/>
    <w:rsid w:val="00A44882"/>
    <w:rsid w:val="00A54715"/>
    <w:rsid w:val="00A6061C"/>
    <w:rsid w:val="00A62D44"/>
    <w:rsid w:val="00A67263"/>
    <w:rsid w:val="00A70C9E"/>
    <w:rsid w:val="00A7161C"/>
    <w:rsid w:val="00A77AA3"/>
    <w:rsid w:val="00A854EB"/>
    <w:rsid w:val="00A862D3"/>
    <w:rsid w:val="00A872E5"/>
    <w:rsid w:val="00A91406"/>
    <w:rsid w:val="00A96E65"/>
    <w:rsid w:val="00A97C72"/>
    <w:rsid w:val="00AA63D4"/>
    <w:rsid w:val="00AB06E8"/>
    <w:rsid w:val="00AB1CD3"/>
    <w:rsid w:val="00AB352F"/>
    <w:rsid w:val="00AC274B"/>
    <w:rsid w:val="00AC4764"/>
    <w:rsid w:val="00AC6D36"/>
    <w:rsid w:val="00AD0CBA"/>
    <w:rsid w:val="00AD26E2"/>
    <w:rsid w:val="00AD63BF"/>
    <w:rsid w:val="00AD784C"/>
    <w:rsid w:val="00AE126A"/>
    <w:rsid w:val="00AE2171"/>
    <w:rsid w:val="00AE3005"/>
    <w:rsid w:val="00AE3BD5"/>
    <w:rsid w:val="00AE59A0"/>
    <w:rsid w:val="00AF0C57"/>
    <w:rsid w:val="00AF26F3"/>
    <w:rsid w:val="00AF577D"/>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1E"/>
    <w:rsid w:val="00B635B7"/>
    <w:rsid w:val="00B63AE8"/>
    <w:rsid w:val="00B65950"/>
    <w:rsid w:val="00B66D83"/>
    <w:rsid w:val="00B672C0"/>
    <w:rsid w:val="00B75646"/>
    <w:rsid w:val="00B83A44"/>
    <w:rsid w:val="00B90729"/>
    <w:rsid w:val="00B907DA"/>
    <w:rsid w:val="00B944E0"/>
    <w:rsid w:val="00B950BC"/>
    <w:rsid w:val="00B9714C"/>
    <w:rsid w:val="00BA3F8D"/>
    <w:rsid w:val="00BA658D"/>
    <w:rsid w:val="00BB7A10"/>
    <w:rsid w:val="00BC7468"/>
    <w:rsid w:val="00BC7D4F"/>
    <w:rsid w:val="00BC7ED7"/>
    <w:rsid w:val="00BD2850"/>
    <w:rsid w:val="00BE1871"/>
    <w:rsid w:val="00BE28D2"/>
    <w:rsid w:val="00BE4A64"/>
    <w:rsid w:val="00BF17FD"/>
    <w:rsid w:val="00BF7F58"/>
    <w:rsid w:val="00C01381"/>
    <w:rsid w:val="00C079B8"/>
    <w:rsid w:val="00C123EA"/>
    <w:rsid w:val="00C12627"/>
    <w:rsid w:val="00C12A49"/>
    <w:rsid w:val="00C133EE"/>
    <w:rsid w:val="00C2348A"/>
    <w:rsid w:val="00C27DE9"/>
    <w:rsid w:val="00C33388"/>
    <w:rsid w:val="00C35484"/>
    <w:rsid w:val="00C4173A"/>
    <w:rsid w:val="00C602FF"/>
    <w:rsid w:val="00C61174"/>
    <w:rsid w:val="00C6148F"/>
    <w:rsid w:val="00C62F7A"/>
    <w:rsid w:val="00C63B9C"/>
    <w:rsid w:val="00C6682F"/>
    <w:rsid w:val="00C7275E"/>
    <w:rsid w:val="00C745F8"/>
    <w:rsid w:val="00C74C5D"/>
    <w:rsid w:val="00C769EB"/>
    <w:rsid w:val="00C863C4"/>
    <w:rsid w:val="00C93C3E"/>
    <w:rsid w:val="00CA12E3"/>
    <w:rsid w:val="00CA6611"/>
    <w:rsid w:val="00CA6AE6"/>
    <w:rsid w:val="00CA782F"/>
    <w:rsid w:val="00CB3285"/>
    <w:rsid w:val="00CC0C72"/>
    <w:rsid w:val="00CC2BFD"/>
    <w:rsid w:val="00CD0F3F"/>
    <w:rsid w:val="00CD3476"/>
    <w:rsid w:val="00CD64DF"/>
    <w:rsid w:val="00CE0D1D"/>
    <w:rsid w:val="00CF2F50"/>
    <w:rsid w:val="00D02919"/>
    <w:rsid w:val="00D04C61"/>
    <w:rsid w:val="00D05B8D"/>
    <w:rsid w:val="00D065A2"/>
    <w:rsid w:val="00D07F00"/>
    <w:rsid w:val="00D17B72"/>
    <w:rsid w:val="00D250AC"/>
    <w:rsid w:val="00D3185C"/>
    <w:rsid w:val="00D33E72"/>
    <w:rsid w:val="00D35BD6"/>
    <w:rsid w:val="00D361B5"/>
    <w:rsid w:val="00D411A2"/>
    <w:rsid w:val="00D4606D"/>
    <w:rsid w:val="00D478EB"/>
    <w:rsid w:val="00D50B9C"/>
    <w:rsid w:val="00D52D73"/>
    <w:rsid w:val="00D52E58"/>
    <w:rsid w:val="00D63F9C"/>
    <w:rsid w:val="00D714CC"/>
    <w:rsid w:val="00D75EA7"/>
    <w:rsid w:val="00D81F21"/>
    <w:rsid w:val="00D86AB1"/>
    <w:rsid w:val="00D915B8"/>
    <w:rsid w:val="00D94FB4"/>
    <w:rsid w:val="00D95470"/>
    <w:rsid w:val="00DA0AEC"/>
    <w:rsid w:val="00DA2619"/>
    <w:rsid w:val="00DA4239"/>
    <w:rsid w:val="00DB0B61"/>
    <w:rsid w:val="00DB561F"/>
    <w:rsid w:val="00DC090B"/>
    <w:rsid w:val="00DC1679"/>
    <w:rsid w:val="00DC2CF1"/>
    <w:rsid w:val="00DC4FCF"/>
    <w:rsid w:val="00DC50E0"/>
    <w:rsid w:val="00DC6386"/>
    <w:rsid w:val="00DD1130"/>
    <w:rsid w:val="00DD1789"/>
    <w:rsid w:val="00DD1951"/>
    <w:rsid w:val="00DD4AB8"/>
    <w:rsid w:val="00DD5E4F"/>
    <w:rsid w:val="00DD6628"/>
    <w:rsid w:val="00DE3250"/>
    <w:rsid w:val="00DE6028"/>
    <w:rsid w:val="00DE78A3"/>
    <w:rsid w:val="00DF1A71"/>
    <w:rsid w:val="00DF68C7"/>
    <w:rsid w:val="00DF731A"/>
    <w:rsid w:val="00E170DC"/>
    <w:rsid w:val="00E26818"/>
    <w:rsid w:val="00E27FFC"/>
    <w:rsid w:val="00E30B15"/>
    <w:rsid w:val="00E40181"/>
    <w:rsid w:val="00E51778"/>
    <w:rsid w:val="00E56A01"/>
    <w:rsid w:val="00E629A1"/>
    <w:rsid w:val="00E6794C"/>
    <w:rsid w:val="00E71591"/>
    <w:rsid w:val="00E74463"/>
    <w:rsid w:val="00E81893"/>
    <w:rsid w:val="00E82C55"/>
    <w:rsid w:val="00E92AC3"/>
    <w:rsid w:val="00EA2485"/>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0359"/>
    <w:rsid w:val="00F250A9"/>
    <w:rsid w:val="00F30FF4"/>
    <w:rsid w:val="00F3122E"/>
    <w:rsid w:val="00F331AD"/>
    <w:rsid w:val="00F35287"/>
    <w:rsid w:val="00F43A37"/>
    <w:rsid w:val="00F4641B"/>
    <w:rsid w:val="00F46EB8"/>
    <w:rsid w:val="00F511E4"/>
    <w:rsid w:val="00F524F0"/>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93DCD"/>
    <w:rsid w:val="00FA2C46"/>
    <w:rsid w:val="00FA3525"/>
    <w:rsid w:val="00FB4769"/>
    <w:rsid w:val="00FB4CDA"/>
    <w:rsid w:val="00FC0F81"/>
    <w:rsid w:val="00FC268D"/>
    <w:rsid w:val="00FC395C"/>
    <w:rsid w:val="00FC6F35"/>
    <w:rsid w:val="00FD3766"/>
    <w:rsid w:val="00FD47C4"/>
    <w:rsid w:val="00FE2DCF"/>
    <w:rsid w:val="00FE3207"/>
    <w:rsid w:val="00FF2FCE"/>
    <w:rsid w:val="00FF48AA"/>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5172DF3"/>
  <w15:chartTrackingRefBased/>
  <w15:docId w15:val="{64690F9D-2808-F64F-B2C1-A4F43238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AFB"/>
    <w:rPr>
      <w:sz w:val="24"/>
      <w:szCs w:val="24"/>
    </w:rPr>
  </w:style>
  <w:style w:type="paragraph" w:styleId="Heading1">
    <w:name w:val="heading 1"/>
    <w:next w:val="DHHSbody"/>
    <w:link w:val="Heading1Char"/>
    <w:uiPriority w:val="9"/>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9"/>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9"/>
    <w:rsid w:val="000A6666"/>
    <w:rPr>
      <w:rFonts w:ascii="Arial" w:hAnsi="Arial"/>
      <w:b/>
      <w:color w:val="004EA8"/>
      <w:sz w:val="28"/>
      <w:szCs w:val="28"/>
      <w:lang w:eastAsia="en-US"/>
    </w:rPr>
  </w:style>
  <w:style w:type="character" w:customStyle="1" w:styleId="Heading3Char">
    <w:name w:val="Heading 3 Char"/>
    <w:link w:val="Heading3"/>
    <w:uiPriority w:val="9"/>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39"/>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1"/>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1"/>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1"/>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lang w:eastAsia="en-US"/>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1"/>
      </w:numPr>
    </w:pPr>
  </w:style>
  <w:style w:type="numbering" w:customStyle="1" w:styleId="ZZNumbers">
    <w:name w:val="ZZ Numbers"/>
    <w:rsid w:val="00152073"/>
    <w:pPr>
      <w:numPr>
        <w:numId w:val="2"/>
      </w:numPr>
    </w:pPr>
  </w:style>
  <w:style w:type="paragraph" w:customStyle="1" w:styleId="DHHSbulletindentlastline">
    <w:name w:val="DHHS bullet indent last line"/>
    <w:basedOn w:val="DHHSbody"/>
    <w:uiPriority w:val="4"/>
    <w:rsid w:val="0051568D"/>
    <w:pPr>
      <w:numPr>
        <w:ilvl w:val="5"/>
        <w:numId w:val="1"/>
      </w:numPr>
    </w:pPr>
  </w:style>
  <w:style w:type="paragraph" w:customStyle="1" w:styleId="DHHSnumberdigit">
    <w:name w:val="DHHS number digit"/>
    <w:basedOn w:val="DHHSbody"/>
    <w:uiPriority w:val="2"/>
    <w:rsid w:val="00152073"/>
    <w:pPr>
      <w:numPr>
        <w:numId w:val="2"/>
      </w:numPr>
    </w:pPr>
  </w:style>
  <w:style w:type="paragraph" w:customStyle="1" w:styleId="DHHSnumberloweralphaindent">
    <w:name w:val="DHHS number lower alpha indent"/>
    <w:basedOn w:val="DHHSbody"/>
    <w:uiPriority w:val="3"/>
    <w:rsid w:val="00152073"/>
    <w:pPr>
      <w:numPr>
        <w:ilvl w:val="3"/>
        <w:numId w:val="2"/>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2"/>
      </w:numPr>
    </w:pPr>
  </w:style>
  <w:style w:type="paragraph" w:customStyle="1" w:styleId="DHHSnumberlowerroman">
    <w:name w:val="DHHS number lower roman"/>
    <w:basedOn w:val="DHHSbody"/>
    <w:uiPriority w:val="3"/>
    <w:rsid w:val="00152073"/>
    <w:pPr>
      <w:numPr>
        <w:ilvl w:val="4"/>
        <w:numId w:val="2"/>
      </w:numPr>
    </w:pPr>
  </w:style>
  <w:style w:type="paragraph" w:customStyle="1" w:styleId="DHHSnumberlowerromanindent">
    <w:name w:val="DHHS number lower roman indent"/>
    <w:basedOn w:val="DHHSbody"/>
    <w:uiPriority w:val="3"/>
    <w:rsid w:val="00152073"/>
    <w:pPr>
      <w:numPr>
        <w:ilvl w:val="5"/>
        <w:numId w:val="2"/>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DD5E4F"/>
    <w:rPr>
      <w:sz w:val="18"/>
      <w:szCs w:val="18"/>
    </w:rPr>
  </w:style>
  <w:style w:type="character" w:customStyle="1" w:styleId="BalloonTextChar">
    <w:name w:val="Balloon Text Char"/>
    <w:basedOn w:val="DefaultParagraphFont"/>
    <w:link w:val="BalloonText"/>
    <w:uiPriority w:val="99"/>
    <w:semiHidden/>
    <w:rsid w:val="00DD5E4F"/>
    <w:rPr>
      <w:sz w:val="18"/>
      <w:szCs w:val="18"/>
    </w:rPr>
  </w:style>
  <w:style w:type="paragraph" w:styleId="ListParagraph">
    <w:name w:val="List Paragraph"/>
    <w:basedOn w:val="Normal"/>
    <w:uiPriority w:val="1"/>
    <w:qFormat/>
    <w:rsid w:val="005E38AF"/>
    <w:pPr>
      <w:ind w:left="720"/>
      <w:contextualSpacing/>
    </w:pPr>
    <w:rPr>
      <w:rFonts w:eastAsiaTheme="minorHAnsi"/>
      <w:lang w:eastAsia="en-AU"/>
    </w:rPr>
  </w:style>
  <w:style w:type="paragraph" w:styleId="NormalWeb">
    <w:name w:val="Normal (Web)"/>
    <w:basedOn w:val="Normal"/>
    <w:uiPriority w:val="99"/>
    <w:unhideWhenUsed/>
    <w:rsid w:val="005E38AF"/>
    <w:pPr>
      <w:spacing w:before="100" w:beforeAutospacing="1" w:after="100" w:afterAutospacing="1"/>
    </w:pPr>
    <w:rPr>
      <w:lang w:eastAsia="en-AU"/>
    </w:rPr>
  </w:style>
  <w:style w:type="paragraph" w:customStyle="1" w:styleId="Style">
    <w:name w:val="Style"/>
    <w:rsid w:val="005E38AF"/>
    <w:pPr>
      <w:widowControl w:val="0"/>
      <w:autoSpaceDE w:val="0"/>
      <w:autoSpaceDN w:val="0"/>
      <w:adjustRightInd w:val="0"/>
    </w:pPr>
    <w:rPr>
      <w:rFonts w:eastAsiaTheme="minorEastAsia"/>
      <w:sz w:val="24"/>
      <w:szCs w:val="24"/>
      <w:lang w:eastAsia="en-AU"/>
    </w:rPr>
  </w:style>
  <w:style w:type="character" w:customStyle="1" w:styleId="HeaderChar">
    <w:name w:val="Header Char"/>
    <w:basedOn w:val="DefaultParagraphFont"/>
    <w:link w:val="Header"/>
    <w:uiPriority w:val="99"/>
    <w:rsid w:val="005E38AF"/>
    <w:rPr>
      <w:rFonts w:ascii="Arial" w:hAnsi="Arial" w:cs="Arial"/>
      <w:sz w:val="18"/>
      <w:szCs w:val="18"/>
      <w:lang w:eastAsia="en-US"/>
    </w:rPr>
  </w:style>
  <w:style w:type="character" w:customStyle="1" w:styleId="FooterChar">
    <w:name w:val="Footer Char"/>
    <w:basedOn w:val="DefaultParagraphFont"/>
    <w:link w:val="Footer"/>
    <w:uiPriority w:val="99"/>
    <w:rsid w:val="005E38AF"/>
    <w:rPr>
      <w:rFonts w:ascii="Arial" w:hAnsi="Arial" w:cs="Arial"/>
      <w:sz w:val="18"/>
      <w:szCs w:val="18"/>
      <w:lang w:eastAsia="en-US"/>
    </w:rPr>
  </w:style>
  <w:style w:type="character" w:customStyle="1" w:styleId="UnresolvedMention1">
    <w:name w:val="Unresolved Mention1"/>
    <w:basedOn w:val="DefaultParagraphFont"/>
    <w:uiPriority w:val="99"/>
    <w:semiHidden/>
    <w:unhideWhenUsed/>
    <w:rsid w:val="005E38AF"/>
    <w:rPr>
      <w:color w:val="808080"/>
      <w:shd w:val="clear" w:color="auto" w:fill="E6E6E6"/>
    </w:rPr>
  </w:style>
  <w:style w:type="paragraph" w:customStyle="1" w:styleId="Dotpoint">
    <w:name w:val="Dot point"/>
    <w:basedOn w:val="Normal"/>
    <w:qFormat/>
    <w:rsid w:val="005E38AF"/>
    <w:pPr>
      <w:numPr>
        <w:numId w:val="3"/>
      </w:numPr>
      <w:tabs>
        <w:tab w:val="left" w:pos="1134"/>
      </w:tabs>
    </w:pPr>
    <w:rPr>
      <w:rFonts w:ascii="Calibri" w:eastAsia="Calibri" w:hAnsi="Calibri" w:cs="Arial"/>
      <w:sz w:val="22"/>
      <w:szCs w:val="22"/>
      <w:lang w:eastAsia="en-US"/>
    </w:rPr>
  </w:style>
  <w:style w:type="character" w:styleId="UnresolvedMention">
    <w:name w:val="Unresolved Mention"/>
    <w:basedOn w:val="DefaultParagraphFont"/>
    <w:uiPriority w:val="99"/>
    <w:semiHidden/>
    <w:unhideWhenUsed/>
    <w:rsid w:val="005E38AF"/>
    <w:rPr>
      <w:color w:val="605E5C"/>
      <w:shd w:val="clear" w:color="auto" w:fill="E1DFDD"/>
    </w:rPr>
  </w:style>
  <w:style w:type="paragraph" w:styleId="BodyText">
    <w:name w:val="Body Text"/>
    <w:basedOn w:val="Normal"/>
    <w:link w:val="BodyTextChar"/>
    <w:uiPriority w:val="1"/>
    <w:qFormat/>
    <w:rsid w:val="00D478EB"/>
    <w:pPr>
      <w:widowControl w:val="0"/>
      <w:autoSpaceDE w:val="0"/>
      <w:autoSpaceDN w:val="0"/>
      <w:adjustRightInd w:val="0"/>
    </w:pPr>
    <w:rPr>
      <w:rFonts w:ascii="Calibri" w:eastAsiaTheme="minorEastAsia" w:hAnsi="Calibri" w:cs="Calibri"/>
      <w:sz w:val="22"/>
      <w:szCs w:val="22"/>
      <w:lang w:val="en-US" w:eastAsia="en-US"/>
    </w:rPr>
  </w:style>
  <w:style w:type="character" w:customStyle="1" w:styleId="BodyTextChar">
    <w:name w:val="Body Text Char"/>
    <w:basedOn w:val="DefaultParagraphFont"/>
    <w:link w:val="BodyText"/>
    <w:uiPriority w:val="99"/>
    <w:rsid w:val="00D478EB"/>
    <w:rPr>
      <w:rFonts w:ascii="Calibri" w:eastAsiaTheme="minorEastAsia"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08868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94913735">
      <w:bodyDiv w:val="1"/>
      <w:marLeft w:val="0"/>
      <w:marRight w:val="0"/>
      <w:marTop w:val="0"/>
      <w:marBottom w:val="0"/>
      <w:divBdr>
        <w:top w:val="none" w:sz="0" w:space="0" w:color="auto"/>
        <w:left w:val="none" w:sz="0" w:space="0" w:color="auto"/>
        <w:bottom w:val="none" w:sz="0" w:space="0" w:color="auto"/>
        <w:right w:val="none" w:sz="0" w:space="0" w:color="auto"/>
      </w:divBdr>
    </w:div>
    <w:div w:id="189172306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5842357">
      <w:bodyDiv w:val="1"/>
      <w:marLeft w:val="0"/>
      <w:marRight w:val="0"/>
      <w:marTop w:val="0"/>
      <w:marBottom w:val="0"/>
      <w:divBdr>
        <w:top w:val="none" w:sz="0" w:space="0" w:color="auto"/>
        <w:left w:val="none" w:sz="0" w:space="0" w:color="auto"/>
        <w:bottom w:val="none" w:sz="0" w:space="0" w:color="auto"/>
        <w:right w:val="none" w:sz="0" w:space="0" w:color="auto"/>
      </w:divBdr>
    </w:div>
    <w:div w:id="19833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eniorsprojects@dhhs.vic.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1456</Words>
  <Characters>8094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Positive Ageing Advocacy Group terms of reference</vt:lpstr>
    </vt:vector>
  </TitlesOfParts>
  <Manager/>
  <Company>Department of Health and Human Services</Company>
  <LinksUpToDate>false</LinksUpToDate>
  <CharactersWithSpaces>9531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Ageing Advocacy Group terms of reference</dc:title>
  <dc:subject>Seniors inclusion project case study resource</dc:subject>
  <dc:creator>Seniors Projects</dc:creator>
  <cp:keywords>Community inclusion, case study</cp:keywords>
  <dc:description/>
  <cp:lastModifiedBy>Hilary Fisher (DHHS)</cp:lastModifiedBy>
  <cp:revision>2</cp:revision>
  <cp:lastPrinted>2019-02-15T03:19:00Z</cp:lastPrinted>
  <dcterms:created xsi:type="dcterms:W3CDTF">2019-03-14T05:33:00Z</dcterms:created>
  <dcterms:modified xsi:type="dcterms:W3CDTF">2019-03-14T05:33:00Z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